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C22" w:rsidRPr="001C35AF" w:rsidRDefault="005C7C22" w:rsidP="005C7C22">
      <w:pPr>
        <w:pStyle w:val="a3"/>
        <w:spacing w:line="276" w:lineRule="auto"/>
        <w:rPr>
          <w:sz w:val="28"/>
          <w:szCs w:val="28"/>
        </w:rPr>
      </w:pPr>
      <w:r w:rsidRPr="001C35AF">
        <w:rPr>
          <w:sz w:val="28"/>
          <w:szCs w:val="28"/>
        </w:rPr>
        <w:t>Інформація</w:t>
      </w:r>
    </w:p>
    <w:p w:rsidR="005C7C22" w:rsidRPr="001C35AF" w:rsidRDefault="005C7C22" w:rsidP="005C7C22">
      <w:pPr>
        <w:pStyle w:val="a3"/>
        <w:tabs>
          <w:tab w:val="left" w:pos="662"/>
        </w:tabs>
        <w:spacing w:line="276" w:lineRule="auto"/>
        <w:rPr>
          <w:sz w:val="28"/>
          <w:szCs w:val="28"/>
        </w:rPr>
      </w:pPr>
      <w:r w:rsidRPr="001C35AF">
        <w:rPr>
          <w:sz w:val="28"/>
          <w:szCs w:val="28"/>
        </w:rPr>
        <w:t>п</w:t>
      </w:r>
      <w:r w:rsidRPr="008A7A84">
        <w:rPr>
          <w:sz w:val="28"/>
          <w:szCs w:val="28"/>
        </w:rPr>
        <w:t xml:space="preserve">ро хід виконання районною державною адміністрацією повноважень, делегованих районною радою з питань </w:t>
      </w:r>
      <w:r w:rsidR="00623764">
        <w:rPr>
          <w:sz w:val="28"/>
          <w:szCs w:val="28"/>
        </w:rPr>
        <w:t xml:space="preserve">організації </w:t>
      </w:r>
      <w:bookmarkStart w:id="0" w:name="_GoBack"/>
      <w:bookmarkEnd w:id="0"/>
      <w:r w:rsidRPr="008A7A84">
        <w:rPr>
          <w:sz w:val="28"/>
          <w:szCs w:val="28"/>
        </w:rPr>
        <w:t>охорони, реставрації, використання пам’яток історії та культури, архітектури і містобудування, палацово-паркових, паркових та садибних комплексів, природних заповідників місцевого значення</w:t>
      </w:r>
    </w:p>
    <w:p w:rsidR="005C7C22" w:rsidRPr="001C35AF" w:rsidRDefault="005C7C22" w:rsidP="005C7C22">
      <w:pPr>
        <w:pStyle w:val="a3"/>
        <w:tabs>
          <w:tab w:val="left" w:pos="662"/>
        </w:tabs>
        <w:spacing w:line="276" w:lineRule="auto"/>
        <w:rPr>
          <w:b w:val="0"/>
          <w:sz w:val="28"/>
          <w:szCs w:val="28"/>
        </w:rPr>
      </w:pPr>
    </w:p>
    <w:p w:rsidR="005C7C22" w:rsidRPr="008A27A6" w:rsidRDefault="005C7C22" w:rsidP="005C7C22">
      <w:pPr>
        <w:ind w:firstLine="709"/>
        <w:jc w:val="both"/>
        <w:rPr>
          <w:sz w:val="28"/>
          <w:szCs w:val="28"/>
          <w:lang w:val="uk-UA"/>
        </w:rPr>
      </w:pPr>
      <w:r w:rsidRPr="008A27A6">
        <w:rPr>
          <w:sz w:val="28"/>
          <w:szCs w:val="28"/>
          <w:lang w:val="uk-UA"/>
        </w:rPr>
        <w:t>На території Броварського району налічується понад 500 об’єктів культурної спадщини, зокрема: 208 пам’яток археології, 271 пам’ятка історії, 40</w:t>
      </w:r>
      <w:r>
        <w:rPr>
          <w:sz w:val="28"/>
          <w:szCs w:val="28"/>
          <w:lang w:val="uk-UA"/>
        </w:rPr>
        <w:t> </w:t>
      </w:r>
      <w:r w:rsidRPr="008A27A6">
        <w:rPr>
          <w:sz w:val="28"/>
          <w:szCs w:val="28"/>
          <w:lang w:val="uk-UA"/>
        </w:rPr>
        <w:t xml:space="preserve">пам’яток архітектури, 10 об’єктів садово-паркового мистецтва. </w:t>
      </w:r>
    </w:p>
    <w:p w:rsidR="005C7C22" w:rsidRPr="008A27A6" w:rsidRDefault="005C7C22" w:rsidP="005C7C22">
      <w:pPr>
        <w:ind w:firstLine="709"/>
        <w:jc w:val="both"/>
        <w:rPr>
          <w:sz w:val="28"/>
          <w:szCs w:val="28"/>
          <w:lang w:val="uk-UA"/>
        </w:rPr>
      </w:pPr>
      <w:r w:rsidRPr="008A27A6">
        <w:rPr>
          <w:sz w:val="28"/>
          <w:szCs w:val="28"/>
          <w:lang w:val="uk-UA"/>
        </w:rPr>
        <w:t xml:space="preserve">На даний час до Державних реєстрів нерухомих пам’яток України внесено: </w:t>
      </w:r>
    </w:p>
    <w:p w:rsidR="005C7C22" w:rsidRPr="008A27A6" w:rsidRDefault="005C7C22" w:rsidP="005C7C22">
      <w:pPr>
        <w:ind w:firstLine="709"/>
        <w:jc w:val="both"/>
        <w:rPr>
          <w:sz w:val="28"/>
          <w:szCs w:val="28"/>
          <w:lang w:val="uk-UA"/>
        </w:rPr>
      </w:pPr>
      <w:r w:rsidRPr="008A27A6">
        <w:rPr>
          <w:sz w:val="28"/>
          <w:szCs w:val="28"/>
          <w:lang w:val="uk-UA"/>
        </w:rPr>
        <w:t xml:space="preserve">2 пам’ятки національного значення – городище у с. </w:t>
      </w:r>
      <w:proofErr w:type="spellStart"/>
      <w:r w:rsidRPr="008A27A6">
        <w:rPr>
          <w:sz w:val="28"/>
          <w:szCs w:val="28"/>
          <w:lang w:val="uk-UA"/>
        </w:rPr>
        <w:t>Літочки</w:t>
      </w:r>
      <w:proofErr w:type="spellEnd"/>
      <w:r w:rsidRPr="008A27A6">
        <w:rPr>
          <w:sz w:val="28"/>
          <w:szCs w:val="28"/>
          <w:lang w:val="uk-UA"/>
        </w:rPr>
        <w:t xml:space="preserve"> </w:t>
      </w:r>
      <w:proofErr w:type="spellStart"/>
      <w:r w:rsidRPr="008A27A6">
        <w:rPr>
          <w:sz w:val="28"/>
          <w:szCs w:val="28"/>
          <w:lang w:val="uk-UA"/>
        </w:rPr>
        <w:t>Зазимської</w:t>
      </w:r>
      <w:proofErr w:type="spellEnd"/>
      <w:r w:rsidRPr="008A27A6">
        <w:rPr>
          <w:sz w:val="28"/>
          <w:szCs w:val="28"/>
          <w:lang w:val="uk-UA"/>
        </w:rPr>
        <w:t xml:space="preserve"> сільської ради та курган «Могила» у с. Поділля </w:t>
      </w:r>
      <w:proofErr w:type="spellStart"/>
      <w:r w:rsidRPr="008A27A6">
        <w:rPr>
          <w:sz w:val="28"/>
          <w:szCs w:val="28"/>
          <w:lang w:val="uk-UA"/>
        </w:rPr>
        <w:t>Баришівської</w:t>
      </w:r>
      <w:proofErr w:type="spellEnd"/>
      <w:r w:rsidRPr="008A27A6">
        <w:rPr>
          <w:sz w:val="28"/>
          <w:szCs w:val="28"/>
          <w:lang w:val="uk-UA"/>
        </w:rPr>
        <w:t xml:space="preserve"> селищної ради;</w:t>
      </w:r>
    </w:p>
    <w:p w:rsidR="005C7C22" w:rsidRPr="008A27A6" w:rsidRDefault="005C7C22" w:rsidP="005C7C22">
      <w:pPr>
        <w:ind w:firstLine="709"/>
        <w:jc w:val="both"/>
        <w:rPr>
          <w:sz w:val="28"/>
          <w:szCs w:val="28"/>
          <w:lang w:val="uk-UA"/>
        </w:rPr>
      </w:pPr>
      <w:r w:rsidRPr="008A27A6">
        <w:rPr>
          <w:sz w:val="28"/>
          <w:szCs w:val="28"/>
          <w:lang w:val="uk-UA"/>
        </w:rPr>
        <w:t>27 пам’яток місцевого значення – 10 пам’яток архітектури, 1 пам’ятка історії, 2 пам’ятки монументального мистецтва та 14 пам’яток археології.</w:t>
      </w:r>
    </w:p>
    <w:p w:rsidR="005C7C22" w:rsidRPr="008A27A6" w:rsidRDefault="005C7C22" w:rsidP="005C7C22">
      <w:pPr>
        <w:ind w:firstLine="709"/>
        <w:jc w:val="both"/>
        <w:rPr>
          <w:sz w:val="28"/>
          <w:szCs w:val="28"/>
          <w:lang w:val="uk-UA"/>
        </w:rPr>
      </w:pPr>
      <w:r w:rsidRPr="008A27A6">
        <w:rPr>
          <w:sz w:val="28"/>
          <w:szCs w:val="28"/>
          <w:lang w:val="uk-UA"/>
        </w:rPr>
        <w:t>Меморіальні об’єкти та знакові місця пам’яті постійно підтримуються у належному стані, упорядковуються під час проведення благоустрою та напередодні пам’ятних дат і державних свят.</w:t>
      </w:r>
    </w:p>
    <w:p w:rsidR="005C7C22" w:rsidRPr="008A27A6" w:rsidRDefault="005C7C22" w:rsidP="005C7C22">
      <w:pPr>
        <w:ind w:firstLine="709"/>
        <w:jc w:val="both"/>
        <w:rPr>
          <w:sz w:val="28"/>
          <w:szCs w:val="28"/>
          <w:lang w:val="uk-UA"/>
        </w:rPr>
      </w:pPr>
      <w:r w:rsidRPr="008A27A6">
        <w:rPr>
          <w:sz w:val="28"/>
          <w:szCs w:val="28"/>
          <w:lang w:val="uk-UA"/>
        </w:rPr>
        <w:t>Облік об’єктів культурної спадщини, відповідно до статутних документів, покладено на структурні підрозділи у сфері культури територіальних громад району.</w:t>
      </w:r>
    </w:p>
    <w:p w:rsidR="005C7C22" w:rsidRPr="008A27A6" w:rsidRDefault="005C7C22" w:rsidP="005C7C22">
      <w:pPr>
        <w:ind w:firstLine="709"/>
        <w:jc w:val="both"/>
        <w:rPr>
          <w:sz w:val="28"/>
          <w:szCs w:val="28"/>
          <w:lang w:val="uk-UA"/>
        </w:rPr>
      </w:pPr>
      <w:r w:rsidRPr="008A27A6">
        <w:rPr>
          <w:sz w:val="28"/>
          <w:szCs w:val="28"/>
          <w:lang w:val="uk-UA"/>
        </w:rPr>
        <w:t>На виконання законів України «Про засудження комуністичного та націонал-соціалістичного (нацистського) тоталітарних режимів в Україні та заборону пропаганди їхньої символіки», «Про засудження та заборону пропаганди російської імперської політики в Україні і деколонізацію топонімії», «Про засади державної політики національної пам’яті Українського народу» протягом звітного періоду у територіальних громадах району активно проводилась робота з демонтажу або вилучення окремих елементів символіки тоталітарних режимів, зміни написів на пам’ятниках та пам’ятних знаках Другої світової війни.</w:t>
      </w:r>
    </w:p>
    <w:p w:rsidR="005C7C22" w:rsidRPr="008A27A6" w:rsidRDefault="005C7C22" w:rsidP="005C7C22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8A27A6">
        <w:rPr>
          <w:sz w:val="28"/>
          <w:szCs w:val="28"/>
          <w:lang w:val="uk-UA"/>
        </w:rPr>
        <w:t>Великодимерською</w:t>
      </w:r>
      <w:proofErr w:type="spellEnd"/>
      <w:r w:rsidRPr="008A27A6">
        <w:rPr>
          <w:sz w:val="28"/>
          <w:szCs w:val="28"/>
          <w:lang w:val="uk-UA"/>
        </w:rPr>
        <w:t xml:space="preserve"> селищною радою проведено переміщення (перенесення) пам’ятки культурної спадщини «Братська могила воїнів радянської армії, які загинули в 1943 році» у с. Плоске.</w:t>
      </w:r>
    </w:p>
    <w:p w:rsidR="005C7C22" w:rsidRPr="008A27A6" w:rsidRDefault="005C7C22" w:rsidP="005C7C22">
      <w:pPr>
        <w:ind w:firstLine="709"/>
        <w:jc w:val="both"/>
        <w:rPr>
          <w:sz w:val="28"/>
          <w:szCs w:val="28"/>
          <w:lang w:val="uk-UA"/>
        </w:rPr>
      </w:pPr>
      <w:r w:rsidRPr="008A27A6">
        <w:rPr>
          <w:sz w:val="28"/>
          <w:szCs w:val="28"/>
          <w:lang w:val="uk-UA"/>
        </w:rPr>
        <w:t xml:space="preserve">На території Броварської міської ради протягом 2025-2026 років вилучено з громадського простору об’єкти культурної спадщини, а саме: пам’ятний знак на честь воїнів Гвардійської 200-ї червоноармійської </w:t>
      </w:r>
      <w:proofErr w:type="spellStart"/>
      <w:r w:rsidRPr="008A27A6">
        <w:rPr>
          <w:sz w:val="28"/>
          <w:szCs w:val="28"/>
          <w:lang w:val="uk-UA"/>
        </w:rPr>
        <w:t>Двінської</w:t>
      </w:r>
      <w:proofErr w:type="spellEnd"/>
      <w:r w:rsidRPr="008A27A6">
        <w:rPr>
          <w:sz w:val="28"/>
          <w:szCs w:val="28"/>
          <w:lang w:val="uk-UA"/>
        </w:rPr>
        <w:t xml:space="preserve"> дивізії 4-го полку НКВС імені Дзержинського (парк Приозерний) та Братську могилу червоноармійців, які загинули в 1920 році від рук білогвардійців у с. </w:t>
      </w:r>
      <w:proofErr w:type="spellStart"/>
      <w:r w:rsidRPr="008A27A6">
        <w:rPr>
          <w:sz w:val="28"/>
          <w:szCs w:val="28"/>
          <w:lang w:val="uk-UA"/>
        </w:rPr>
        <w:t>Требухів</w:t>
      </w:r>
      <w:proofErr w:type="spellEnd"/>
      <w:r w:rsidRPr="008A27A6">
        <w:rPr>
          <w:sz w:val="28"/>
          <w:szCs w:val="28"/>
          <w:lang w:val="uk-UA"/>
        </w:rPr>
        <w:t xml:space="preserve"> (центральне кладовище с. </w:t>
      </w:r>
      <w:proofErr w:type="spellStart"/>
      <w:r w:rsidRPr="008A27A6">
        <w:rPr>
          <w:sz w:val="28"/>
          <w:szCs w:val="28"/>
          <w:lang w:val="uk-UA"/>
        </w:rPr>
        <w:t>Требухів</w:t>
      </w:r>
      <w:proofErr w:type="spellEnd"/>
      <w:r w:rsidRPr="008A27A6">
        <w:rPr>
          <w:sz w:val="28"/>
          <w:szCs w:val="28"/>
          <w:lang w:val="uk-UA"/>
        </w:rPr>
        <w:t>).</w:t>
      </w:r>
    </w:p>
    <w:p w:rsidR="005C7C22" w:rsidRPr="008A27A6" w:rsidRDefault="005C7C22" w:rsidP="005C7C22">
      <w:pPr>
        <w:ind w:firstLine="709"/>
        <w:jc w:val="both"/>
        <w:rPr>
          <w:sz w:val="28"/>
          <w:szCs w:val="28"/>
          <w:lang w:val="uk-UA"/>
        </w:rPr>
      </w:pPr>
      <w:r w:rsidRPr="008A27A6">
        <w:rPr>
          <w:sz w:val="28"/>
          <w:szCs w:val="28"/>
          <w:lang w:val="uk-UA"/>
        </w:rPr>
        <w:t xml:space="preserve">Водночас у громадах проводилася робота щодо впорядкування та оновлення облікової документації на існуючі об’єкти культурної спадщини. Здійснювався збір та систематизація інформації, </w:t>
      </w:r>
      <w:proofErr w:type="spellStart"/>
      <w:r w:rsidRPr="008A27A6">
        <w:rPr>
          <w:sz w:val="28"/>
          <w:szCs w:val="28"/>
          <w:lang w:val="uk-UA"/>
        </w:rPr>
        <w:t>фотофіксація</w:t>
      </w:r>
      <w:proofErr w:type="spellEnd"/>
      <w:r w:rsidRPr="008A27A6">
        <w:rPr>
          <w:sz w:val="28"/>
          <w:szCs w:val="28"/>
          <w:lang w:val="uk-UA"/>
        </w:rPr>
        <w:t xml:space="preserve"> об’єктів, підготовка матеріалів для виготовлення паспортів та укладення охоронних договорів.</w:t>
      </w:r>
    </w:p>
    <w:p w:rsidR="005C7C22" w:rsidRPr="008A27A6" w:rsidRDefault="005C7C22" w:rsidP="005C7C22">
      <w:pPr>
        <w:ind w:firstLine="709"/>
        <w:jc w:val="both"/>
        <w:rPr>
          <w:sz w:val="28"/>
          <w:szCs w:val="28"/>
          <w:lang w:val="uk-UA"/>
        </w:rPr>
      </w:pPr>
      <w:r w:rsidRPr="008A27A6">
        <w:rPr>
          <w:sz w:val="28"/>
          <w:szCs w:val="28"/>
          <w:lang w:val="uk-UA"/>
        </w:rPr>
        <w:t xml:space="preserve">Внесення нових об’єктів до Державного реєстру нерухомих пам’яток України у зазначений період не здійснювалося, однак у громадах триває </w:t>
      </w:r>
      <w:r w:rsidRPr="008A27A6">
        <w:rPr>
          <w:sz w:val="28"/>
          <w:szCs w:val="28"/>
          <w:lang w:val="uk-UA"/>
        </w:rPr>
        <w:lastRenderedPageBreak/>
        <w:t>підготовча робота для подальшого належного оформлення об’єктів культурної спадщини та їх збереження.</w:t>
      </w:r>
    </w:p>
    <w:p w:rsidR="005C7C22" w:rsidRPr="008A27A6" w:rsidRDefault="005C7C22" w:rsidP="005C7C22">
      <w:pPr>
        <w:ind w:firstLine="709"/>
        <w:jc w:val="both"/>
        <w:rPr>
          <w:sz w:val="28"/>
          <w:szCs w:val="28"/>
          <w:lang w:val="uk-UA"/>
        </w:rPr>
      </w:pPr>
      <w:r w:rsidRPr="008A27A6">
        <w:rPr>
          <w:sz w:val="28"/>
          <w:szCs w:val="28"/>
          <w:lang w:val="uk-UA"/>
        </w:rPr>
        <w:t xml:space="preserve">За ініціативи відділу гуманітарного розвитку Броварської районної державної адміністрації 26 березня 2026 року проведено робочу нараду за участі виконувача обов’язків директора Департаменту культури та туризму Київської обласної державної адміністрації Дмитра </w:t>
      </w:r>
      <w:proofErr w:type="spellStart"/>
      <w:r w:rsidRPr="008A27A6">
        <w:rPr>
          <w:sz w:val="28"/>
          <w:szCs w:val="28"/>
          <w:lang w:val="uk-UA"/>
        </w:rPr>
        <w:t>Гончаренка</w:t>
      </w:r>
      <w:proofErr w:type="spellEnd"/>
      <w:r w:rsidRPr="008A27A6">
        <w:rPr>
          <w:sz w:val="28"/>
          <w:szCs w:val="28"/>
          <w:lang w:val="uk-UA"/>
        </w:rPr>
        <w:t>, спеціалістів комунального закладу Київської обласної ради «Київський обласний центр охорони і наукових досліджень пам'яток культурної спадщини», керівників структурних підрозділів територіальних громад Броварського району, відповідальних за сферу охорони культурної спадщини. Учасникам наради було надано конкретні рекомендації щодо окремих об’єктів культурної спадщини з метою їх належного збереження та утримання.</w:t>
      </w:r>
    </w:p>
    <w:p w:rsidR="005C7C22" w:rsidRPr="008A27A6" w:rsidRDefault="005C7C22" w:rsidP="005C7C22">
      <w:pPr>
        <w:ind w:firstLine="709"/>
        <w:jc w:val="both"/>
        <w:rPr>
          <w:sz w:val="28"/>
          <w:szCs w:val="28"/>
          <w:lang w:val="uk-UA"/>
        </w:rPr>
      </w:pPr>
      <w:r w:rsidRPr="008A27A6">
        <w:rPr>
          <w:sz w:val="28"/>
          <w:szCs w:val="28"/>
          <w:lang w:val="uk-UA"/>
        </w:rPr>
        <w:t>За результатами наради визначено пріоритетні напрями подальшої роботи.</w:t>
      </w:r>
    </w:p>
    <w:p w:rsidR="005C7C22" w:rsidRPr="008A27A6" w:rsidRDefault="005C7C22" w:rsidP="005C7C22">
      <w:pPr>
        <w:ind w:firstLine="709"/>
        <w:jc w:val="both"/>
        <w:rPr>
          <w:sz w:val="28"/>
          <w:szCs w:val="28"/>
          <w:lang w:val="uk-UA"/>
        </w:rPr>
      </w:pPr>
      <w:r w:rsidRPr="008A27A6">
        <w:rPr>
          <w:sz w:val="28"/>
          <w:szCs w:val="28"/>
          <w:lang w:val="uk-UA"/>
        </w:rPr>
        <w:t>У 2025–2026 роках територіальні громади Броварського району зосередили роботу переважно на:</w:t>
      </w:r>
    </w:p>
    <w:p w:rsidR="005C7C22" w:rsidRPr="008A27A6" w:rsidRDefault="005C7C22" w:rsidP="005C7C22">
      <w:pPr>
        <w:ind w:firstLine="709"/>
        <w:jc w:val="both"/>
        <w:rPr>
          <w:sz w:val="28"/>
          <w:szCs w:val="28"/>
          <w:lang w:val="uk-UA"/>
        </w:rPr>
      </w:pPr>
      <w:r w:rsidRPr="008A27A6">
        <w:rPr>
          <w:sz w:val="28"/>
          <w:szCs w:val="28"/>
          <w:lang w:val="uk-UA"/>
        </w:rPr>
        <w:t>- інвентаризації та актуалізації обліку об’єктів культурної спадщини;</w:t>
      </w:r>
    </w:p>
    <w:p w:rsidR="005C7C22" w:rsidRPr="008A27A6" w:rsidRDefault="005C7C22" w:rsidP="005C7C22">
      <w:pPr>
        <w:ind w:firstLine="709"/>
        <w:jc w:val="both"/>
        <w:rPr>
          <w:sz w:val="28"/>
          <w:szCs w:val="28"/>
          <w:lang w:val="uk-UA"/>
        </w:rPr>
      </w:pPr>
      <w:r w:rsidRPr="008A27A6">
        <w:rPr>
          <w:sz w:val="28"/>
          <w:szCs w:val="28"/>
          <w:lang w:val="uk-UA"/>
        </w:rPr>
        <w:t>- впорядкуванні та оновленні облікової документації;</w:t>
      </w:r>
    </w:p>
    <w:p w:rsidR="005C7C22" w:rsidRPr="008A27A6" w:rsidRDefault="005C7C22" w:rsidP="005C7C22">
      <w:pPr>
        <w:ind w:firstLine="709"/>
        <w:jc w:val="both"/>
        <w:rPr>
          <w:sz w:val="28"/>
          <w:szCs w:val="28"/>
          <w:lang w:val="uk-UA"/>
        </w:rPr>
      </w:pPr>
      <w:r w:rsidRPr="008A27A6">
        <w:rPr>
          <w:sz w:val="28"/>
          <w:szCs w:val="28"/>
          <w:lang w:val="uk-UA"/>
        </w:rPr>
        <w:t>- демонтажі радянської та імперської символіки;</w:t>
      </w:r>
    </w:p>
    <w:p w:rsidR="005C7C22" w:rsidRPr="008A27A6" w:rsidRDefault="005C7C22" w:rsidP="005C7C22">
      <w:pPr>
        <w:ind w:firstLine="709"/>
        <w:jc w:val="both"/>
        <w:rPr>
          <w:sz w:val="28"/>
          <w:szCs w:val="28"/>
          <w:lang w:val="uk-UA"/>
        </w:rPr>
      </w:pPr>
      <w:r w:rsidRPr="008A27A6">
        <w:rPr>
          <w:sz w:val="28"/>
          <w:szCs w:val="28"/>
          <w:lang w:val="uk-UA"/>
        </w:rPr>
        <w:t>- реалізації заходів декомунізації та деколонізації;</w:t>
      </w:r>
    </w:p>
    <w:p w:rsidR="005C7C22" w:rsidRPr="008A27A6" w:rsidRDefault="005C7C22" w:rsidP="005C7C22">
      <w:pPr>
        <w:ind w:firstLine="709"/>
        <w:jc w:val="both"/>
        <w:rPr>
          <w:sz w:val="28"/>
          <w:szCs w:val="28"/>
          <w:lang w:val="uk-UA"/>
        </w:rPr>
      </w:pPr>
      <w:r w:rsidRPr="008A27A6">
        <w:rPr>
          <w:sz w:val="28"/>
          <w:szCs w:val="28"/>
          <w:lang w:val="uk-UA"/>
        </w:rPr>
        <w:t>- оформленні паспортів та охоронних договорів;</w:t>
      </w:r>
    </w:p>
    <w:p w:rsidR="005C7C22" w:rsidRDefault="005C7C22" w:rsidP="005C7C22">
      <w:pPr>
        <w:ind w:firstLine="709"/>
        <w:jc w:val="both"/>
        <w:rPr>
          <w:sz w:val="28"/>
          <w:szCs w:val="28"/>
          <w:lang w:val="uk-UA"/>
        </w:rPr>
      </w:pPr>
      <w:r w:rsidRPr="008A27A6">
        <w:rPr>
          <w:sz w:val="28"/>
          <w:szCs w:val="28"/>
          <w:lang w:val="uk-UA"/>
        </w:rPr>
        <w:t>- приведенні меморіальних об’єктів у відповідність до чинного законодавства.</w:t>
      </w:r>
    </w:p>
    <w:p w:rsidR="005C7C22" w:rsidRPr="008A27A6" w:rsidRDefault="005C7C22" w:rsidP="005C7C22">
      <w:pPr>
        <w:ind w:firstLine="709"/>
        <w:jc w:val="both"/>
        <w:rPr>
          <w:sz w:val="28"/>
          <w:szCs w:val="28"/>
          <w:lang w:val="uk-UA"/>
        </w:rPr>
      </w:pPr>
      <w:r w:rsidRPr="008A27A6">
        <w:rPr>
          <w:sz w:val="28"/>
          <w:szCs w:val="28"/>
          <w:lang w:val="uk-UA"/>
        </w:rPr>
        <w:t xml:space="preserve">Відсутність спеціалізованої ліцензованої організації, яка б проводила фахові реставраційні роботи, та недостатнє фінансування </w:t>
      </w:r>
      <w:r>
        <w:rPr>
          <w:sz w:val="28"/>
          <w:szCs w:val="28"/>
          <w:lang w:val="uk-UA"/>
        </w:rPr>
        <w:t>залишається</w:t>
      </w:r>
      <w:r w:rsidRPr="008A27A6">
        <w:rPr>
          <w:sz w:val="28"/>
          <w:szCs w:val="28"/>
          <w:lang w:val="uk-UA"/>
        </w:rPr>
        <w:t xml:space="preserve"> головн</w:t>
      </w:r>
      <w:r>
        <w:rPr>
          <w:sz w:val="28"/>
          <w:szCs w:val="28"/>
          <w:lang w:val="uk-UA"/>
        </w:rPr>
        <w:t>ою</w:t>
      </w:r>
      <w:r w:rsidRPr="008A27A6">
        <w:rPr>
          <w:sz w:val="28"/>
          <w:szCs w:val="28"/>
          <w:lang w:val="uk-UA"/>
        </w:rPr>
        <w:t xml:space="preserve"> проблем</w:t>
      </w:r>
      <w:r>
        <w:rPr>
          <w:sz w:val="28"/>
          <w:szCs w:val="28"/>
          <w:lang w:val="uk-UA"/>
        </w:rPr>
        <w:t>ою</w:t>
      </w:r>
      <w:r w:rsidRPr="008A27A6">
        <w:rPr>
          <w:sz w:val="28"/>
          <w:szCs w:val="28"/>
          <w:lang w:val="uk-UA"/>
        </w:rPr>
        <w:t xml:space="preserve"> належного утримання об'єктів культурної спадщини.</w:t>
      </w:r>
    </w:p>
    <w:p w:rsidR="005C7C22" w:rsidRDefault="005C7C22" w:rsidP="005C7C22">
      <w:pPr>
        <w:ind w:firstLine="709"/>
        <w:jc w:val="both"/>
        <w:rPr>
          <w:sz w:val="28"/>
          <w:szCs w:val="28"/>
          <w:lang w:val="uk-UA"/>
        </w:rPr>
      </w:pPr>
    </w:p>
    <w:p w:rsidR="005C7C22" w:rsidRPr="001C35AF" w:rsidRDefault="005C7C22" w:rsidP="005C7C22">
      <w:pPr>
        <w:ind w:firstLine="709"/>
        <w:jc w:val="both"/>
        <w:rPr>
          <w:sz w:val="28"/>
          <w:szCs w:val="28"/>
          <w:lang w:val="uk-UA"/>
        </w:rPr>
      </w:pPr>
    </w:p>
    <w:p w:rsidR="005C7C22" w:rsidRDefault="005C7C22" w:rsidP="005C7C22">
      <w:pPr>
        <w:tabs>
          <w:tab w:val="right" w:pos="9923"/>
        </w:tabs>
        <w:jc w:val="both"/>
        <w:rPr>
          <w:b/>
          <w:sz w:val="28"/>
          <w:szCs w:val="28"/>
          <w:lang w:val="uk-UA"/>
        </w:rPr>
      </w:pPr>
      <w:r w:rsidRPr="0080252A">
        <w:rPr>
          <w:b/>
          <w:sz w:val="28"/>
          <w:szCs w:val="28"/>
          <w:lang w:val="uk-UA"/>
        </w:rPr>
        <w:t xml:space="preserve">Начальник відділу </w:t>
      </w:r>
    </w:p>
    <w:p w:rsidR="005C7C22" w:rsidRDefault="005C7C22" w:rsidP="005C7C22">
      <w:pPr>
        <w:tabs>
          <w:tab w:val="left" w:pos="6804"/>
        </w:tabs>
        <w:jc w:val="both"/>
        <w:rPr>
          <w:b/>
          <w:sz w:val="28"/>
          <w:szCs w:val="28"/>
          <w:lang w:val="uk-UA"/>
        </w:rPr>
      </w:pPr>
      <w:r w:rsidRPr="0080252A">
        <w:rPr>
          <w:b/>
          <w:sz w:val="28"/>
          <w:szCs w:val="28"/>
          <w:lang w:val="uk-UA"/>
        </w:rPr>
        <w:t>гуманітарного розвитку</w:t>
      </w:r>
      <w:r w:rsidRPr="0080252A">
        <w:rPr>
          <w:b/>
          <w:sz w:val="28"/>
          <w:szCs w:val="28"/>
          <w:lang w:val="uk-UA"/>
        </w:rPr>
        <w:tab/>
        <w:t>Ольга БІЛАНОВСЬКА</w:t>
      </w:r>
    </w:p>
    <w:p w:rsidR="005C7C22" w:rsidRDefault="005C7C22" w:rsidP="005C7C22">
      <w:pPr>
        <w:tabs>
          <w:tab w:val="left" w:pos="6804"/>
        </w:tabs>
        <w:jc w:val="both"/>
        <w:rPr>
          <w:b/>
          <w:sz w:val="28"/>
          <w:szCs w:val="28"/>
          <w:lang w:val="uk-UA"/>
        </w:rPr>
      </w:pPr>
    </w:p>
    <w:p w:rsidR="005C7C22" w:rsidRPr="00C23425" w:rsidRDefault="005C7C22" w:rsidP="005C7C22">
      <w:pPr>
        <w:rPr>
          <w:lang w:val="uk-UA"/>
        </w:rPr>
      </w:pPr>
    </w:p>
    <w:p w:rsidR="00334785" w:rsidRPr="005C7C22" w:rsidRDefault="00A12593">
      <w:pPr>
        <w:rPr>
          <w:lang w:val="uk-UA"/>
        </w:rPr>
      </w:pPr>
    </w:p>
    <w:sectPr w:rsidR="00334785" w:rsidRPr="005C7C22" w:rsidSect="005C7C22">
      <w:footerReference w:type="default" r:id="rId7"/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593" w:rsidRDefault="00A12593">
      <w:r>
        <w:separator/>
      </w:r>
    </w:p>
  </w:endnote>
  <w:endnote w:type="continuationSeparator" w:id="0">
    <w:p w:rsidR="00A12593" w:rsidRDefault="00A12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DAA" w:rsidRPr="007F1DAA" w:rsidRDefault="00A12593" w:rsidP="007F1DAA">
    <w:pPr>
      <w:pStyle w:val="a5"/>
      <w:jc w:val="right"/>
      <w:rPr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593" w:rsidRDefault="00A12593">
      <w:r>
        <w:separator/>
      </w:r>
    </w:p>
  </w:footnote>
  <w:footnote w:type="continuationSeparator" w:id="0">
    <w:p w:rsidR="00A12593" w:rsidRDefault="00A125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BC0"/>
    <w:rsid w:val="00487DCF"/>
    <w:rsid w:val="005C7C22"/>
    <w:rsid w:val="00623764"/>
    <w:rsid w:val="00855BC0"/>
    <w:rsid w:val="00923F98"/>
    <w:rsid w:val="009F19A4"/>
    <w:rsid w:val="00A1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C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C7C22"/>
    <w:pPr>
      <w:jc w:val="center"/>
    </w:pPr>
    <w:rPr>
      <w:b/>
      <w:bCs/>
      <w:sz w:val="32"/>
      <w:lang w:val="uk-UA" w:eastAsia="x-none"/>
    </w:rPr>
  </w:style>
  <w:style w:type="character" w:customStyle="1" w:styleId="a4">
    <w:name w:val="Название Знак"/>
    <w:basedOn w:val="a0"/>
    <w:link w:val="a3"/>
    <w:rsid w:val="005C7C22"/>
    <w:rPr>
      <w:rFonts w:ascii="Times New Roman" w:eastAsia="Times New Roman" w:hAnsi="Times New Roman" w:cs="Times New Roman"/>
      <w:b/>
      <w:bCs/>
      <w:sz w:val="32"/>
      <w:szCs w:val="24"/>
      <w:lang w:val="uk-UA" w:eastAsia="x-none"/>
    </w:rPr>
  </w:style>
  <w:style w:type="paragraph" w:styleId="a5">
    <w:name w:val="footer"/>
    <w:basedOn w:val="a"/>
    <w:link w:val="a6"/>
    <w:uiPriority w:val="99"/>
    <w:unhideWhenUsed/>
    <w:rsid w:val="005C7C2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C7C2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C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C7C22"/>
    <w:pPr>
      <w:jc w:val="center"/>
    </w:pPr>
    <w:rPr>
      <w:b/>
      <w:bCs/>
      <w:sz w:val="32"/>
      <w:lang w:val="uk-UA" w:eastAsia="x-none"/>
    </w:rPr>
  </w:style>
  <w:style w:type="character" w:customStyle="1" w:styleId="a4">
    <w:name w:val="Название Знак"/>
    <w:basedOn w:val="a0"/>
    <w:link w:val="a3"/>
    <w:rsid w:val="005C7C22"/>
    <w:rPr>
      <w:rFonts w:ascii="Times New Roman" w:eastAsia="Times New Roman" w:hAnsi="Times New Roman" w:cs="Times New Roman"/>
      <w:b/>
      <w:bCs/>
      <w:sz w:val="32"/>
      <w:szCs w:val="24"/>
      <w:lang w:val="uk-UA" w:eastAsia="x-none"/>
    </w:rPr>
  </w:style>
  <w:style w:type="paragraph" w:styleId="a5">
    <w:name w:val="footer"/>
    <w:basedOn w:val="a"/>
    <w:link w:val="a6"/>
    <w:uiPriority w:val="99"/>
    <w:unhideWhenUsed/>
    <w:rsid w:val="005C7C2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C7C2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2792</Words>
  <Characters>1593</Characters>
  <Application>Microsoft Office Word</Application>
  <DocSecurity>0</DocSecurity>
  <Lines>13</Lines>
  <Paragraphs>8</Paragraphs>
  <ScaleCrop>false</ScaleCrop>
  <Company/>
  <LinksUpToDate>false</LinksUpToDate>
  <CharactersWithSpaces>4377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pliok</cp:lastModifiedBy>
  <cp:revision>3</cp:revision>
  <cp:lastPrinted>2026-05-22T10:32:00Z</cp:lastPrinted>
  <dcterms:created xsi:type="dcterms:W3CDTF">2026-05-22T10:31:00Z</dcterms:created>
  <dcterms:modified xsi:type="dcterms:W3CDTF">2026-05-27T07:49:00Z</dcterms:modified>
</cp:coreProperties>
</file>