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h69"/>
        <w:spacing w:before="397" w:after="0"/>
        <w:ind w:left="9411" w:hanging="0"/>
        <w:rPr/>
      </w:pPr>
      <w:bookmarkStart w:id="0" w:name="_GoBack"/>
      <w:bookmarkEnd w:id="0"/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6153785</wp:posOffset>
            </wp:positionH>
            <wp:positionV relativeFrom="paragraph">
              <wp:posOffset>510540</wp:posOffset>
            </wp:positionV>
            <wp:extent cx="2788285" cy="356235"/>
            <wp:effectExtent l="0" t="0" r="0" b="0"/>
            <wp:wrapSquare wrapText="largest"/>
            <wp:docPr id="1" name="Объект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ъект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  <w:sz w:val="24"/>
          <w:szCs w:val="24"/>
        </w:rPr>
        <w:t xml:space="preserve"> </w:t>
      </w:r>
      <w:r>
        <w:rPr>
          <w:w w:val="100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w w:val="10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w w:val="100"/>
          <w:sz w:val="18"/>
          <w:szCs w:val="18"/>
        </w:rPr>
        <w:t xml:space="preserve">Додаток 6 </w:t>
      </w:r>
      <w:r>
        <w:rPr>
          <w:w w:val="100"/>
          <w:sz w:val="24"/>
          <w:szCs w:val="24"/>
        </w:rPr>
        <w:br/>
      </w:r>
    </w:p>
    <w:p>
      <w:pPr>
        <w:pStyle w:val="Ch67"/>
        <w:rPr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w w:val="100"/>
          <w:sz w:val="20"/>
          <w:szCs w:val="20"/>
        </w:rPr>
        <w:t>Обсяги публічних інвестицій у розрізі публічних інвестиційних про</w:t>
      </w:r>
      <w:r>
        <w:rPr>
          <w:rFonts w:cs="Times New Roman" w:ascii="Times New Roman" w:hAnsi="Times New Roman"/>
          <w:b/>
          <w:bCs/>
          <w:w w:val="100"/>
          <w:sz w:val="20"/>
          <w:szCs w:val="20"/>
        </w:rPr>
        <w:t>є</w:t>
      </w:r>
      <w:r>
        <w:rPr>
          <w:rFonts w:ascii="Times New Roman" w:hAnsi="Times New Roman"/>
          <w:b/>
          <w:bCs/>
          <w:w w:val="100"/>
          <w:sz w:val="20"/>
          <w:szCs w:val="20"/>
        </w:rPr>
        <w:t>ктів та  програм публічних інвестицій у 2026 році</w:t>
      </w:r>
    </w:p>
    <w:tbl>
      <w:tblPr>
        <w:tblW w:w="15451" w:type="dxa"/>
        <w:jc w:val="left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7" w:type="dxa"/>
          <w:left w:w="52" w:type="dxa"/>
          <w:bottom w:w="71" w:type="dxa"/>
          <w:right w:w="57" w:type="dxa"/>
        </w:tblCellMar>
        <w:tblLook w:firstRow="0" w:noVBand="0" w:lastRow="0" w:firstColumn="0" w:lastColumn="0" w:noHBand="0" w:val="0000"/>
      </w:tblPr>
      <w:tblGrid>
        <w:gridCol w:w="709"/>
        <w:gridCol w:w="1985"/>
        <w:gridCol w:w="992"/>
        <w:gridCol w:w="281"/>
        <w:gridCol w:w="711"/>
        <w:gridCol w:w="1559"/>
        <w:gridCol w:w="1561"/>
        <w:gridCol w:w="1274"/>
        <w:gridCol w:w="1134"/>
        <w:gridCol w:w="1419"/>
        <w:gridCol w:w="709"/>
        <w:gridCol w:w="850"/>
        <w:gridCol w:w="851"/>
        <w:gridCol w:w="708"/>
        <w:gridCol w:w="707"/>
      </w:tblGrid>
      <w:tr>
        <w:trPr>
          <w:trHeight w:val="443" w:hRule="atLeast"/>
        </w:trPr>
        <w:tc>
          <w:tcPr>
            <w:tcW w:w="39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h68"/>
              <w:jc w:val="center"/>
              <w:rPr>
                <w:rFonts w:ascii="Times New Roman" w:hAnsi="Times New Roman"/>
                <w:b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8"/>
                <w:szCs w:val="18"/>
                <w:u w:val="single"/>
              </w:rPr>
              <w:t>1030620000</w:t>
            </w:r>
          </w:p>
          <w:p>
            <w:pPr>
              <w:pStyle w:val="StrokeCh6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(код бюджету)</w:t>
            </w:r>
          </w:p>
        </w:tc>
        <w:tc>
          <w:tcPr>
            <w:tcW w:w="11483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"/>
              <w:tabs>
                <w:tab w:val="right" w:pos="6350" w:leader="none"/>
              </w:tabs>
              <w:spacing w:lineRule="auto" w:line="252" w:before="113" w:after="0"/>
              <w:ind w:firstLine="283"/>
              <w:jc w:val="right"/>
              <w:rPr/>
            </w:pPr>
            <w:r>
              <w:rPr>
                <w:w w:val="100"/>
                <w:sz w:val="24"/>
                <w:szCs w:val="24"/>
              </w:rPr>
              <w:t>(грн)</w:t>
            </w:r>
          </w:p>
        </w:tc>
      </w:tr>
      <w:tr>
        <w:trPr>
          <w:trHeight w:val="245" w:hRule="atLeast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bottom"/>
          </w:tcPr>
          <w:p>
            <w:pPr>
              <w:pStyle w:val="TableshapkaTABL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br/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Найменування галузі (сектору) </w:t>
              <w:br/>
              <w:t xml:space="preserve">для публічного інвестування/ </w:t>
              <w:br/>
              <w:t>публічного інвестиційного про</w:t>
            </w:r>
            <w:r>
              <w:rPr>
                <w:rFonts w:cs="Times New Roman" w:ascii="Times New Roman" w:hAnsi="Times New Roman"/>
                <w:b/>
                <w:bCs/>
                <w:w w:val="100"/>
                <w:sz w:val="14"/>
                <w:szCs w:val="14"/>
              </w:rPr>
              <w:t>є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кту/ </w:t>
              <w:br/>
              <w:t>програми публічних інвестицій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Унікальний ідентифікатор про</w:t>
            </w:r>
            <w:r>
              <w:rPr>
                <w:rFonts w:cs="Times New Roman" w:ascii="Times New Roman" w:hAnsi="Times New Roman"/>
                <w:b/>
                <w:bCs/>
                <w:w w:val="100"/>
                <w:sz w:val="14"/>
                <w:szCs w:val="14"/>
              </w:rPr>
              <w:t>є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кту / </w:t>
              <w:br/>
              <w:t>програми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Код Програмної класифікації видатків </w:t>
              <w:br/>
              <w:t>та кредитування місцевого бюджету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Найменування бюджетної програми згідно </w:t>
              <w:br/>
              <w:t>з Типовою програмною класифікацією видатків та кредитування місцевого бюджету</w:t>
            </w:r>
          </w:p>
        </w:tc>
        <w:tc>
          <w:tcPr>
            <w:tcW w:w="15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Найменування відповідального головного розпорядника коштів місцевого бюджету за галузь (сектор) / головного розпорядника коштів місцевого бюджету / </w:t>
              <w:br/>
              <w:t>відповідального виконавця</w:t>
            </w:r>
          </w:p>
        </w:tc>
        <w:tc>
          <w:tcPr>
            <w:tcW w:w="12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Період реалізації публічного інвестиційного про</w:t>
            </w:r>
            <w:r>
              <w:rPr>
                <w:rFonts w:cs="Times New Roman" w:ascii="Times New Roman" w:hAnsi="Times New Roman"/>
                <w:b/>
                <w:bCs/>
                <w:w w:val="100"/>
                <w:sz w:val="14"/>
                <w:szCs w:val="14"/>
              </w:rPr>
              <w:t>є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кту/ програми публічних інвестицій (рік початку і завершення)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Загальна вартість публічного інвестиційного про</w:t>
            </w:r>
            <w:r>
              <w:rPr>
                <w:rFonts w:cs="Times New Roman" w:ascii="Times New Roman" w:hAnsi="Times New Roman"/>
                <w:b/>
                <w:bCs/>
                <w:w w:val="100"/>
                <w:sz w:val="14"/>
                <w:szCs w:val="14"/>
              </w:rPr>
              <w:t>є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кту/ програми публічних інвестицій</w:t>
            </w:r>
          </w:p>
        </w:tc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Обсяг бюджетних коштів, спрямованих </w:t>
              <w:br/>
              <w:t>на реалізацію публічного інвестиційного про</w:t>
            </w:r>
            <w:r>
              <w:rPr>
                <w:rFonts w:cs="Times New Roman" w:ascii="Times New Roman" w:hAnsi="Times New Roman"/>
                <w:b/>
                <w:bCs/>
                <w:w w:val="100"/>
                <w:sz w:val="14"/>
                <w:szCs w:val="14"/>
              </w:rPr>
              <w:t>є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кту/ програми публічних інвестицій у 2026 році</w:t>
            </w:r>
          </w:p>
        </w:tc>
        <w:tc>
          <w:tcPr>
            <w:tcW w:w="382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bottom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у тому числі за рахунок:</w:t>
            </w:r>
          </w:p>
        </w:tc>
      </w:tr>
      <w:tr>
        <w:trPr>
          <w:trHeight w:val="3538" w:hRule="atLeast"/>
        </w:trPr>
        <w:tc>
          <w:tcPr>
            <w:tcW w:w="7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Times New Roman" w:hAnsi="Times New Roman"/>
                <w:b/>
                <w:b/>
                <w:bCs/>
                <w:color w:val="00000A"/>
                <w:sz w:val="14"/>
                <w:szCs w:val="14"/>
                <w:lang w:val="uk-UA"/>
              </w:rPr>
            </w:pPr>
            <w:r>
              <w:rPr>
                <w:b/>
                <w:bCs/>
                <w:color w:val="00000A"/>
                <w:sz w:val="14"/>
                <w:szCs w:val="14"/>
                <w:lang w:val="uk-UA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Times New Roman" w:hAnsi="Times New Roman"/>
                <w:b/>
                <w:b/>
                <w:bCs/>
                <w:color w:val="00000A"/>
                <w:sz w:val="14"/>
                <w:szCs w:val="14"/>
                <w:lang w:val="uk-UA"/>
              </w:rPr>
            </w:pPr>
            <w:r>
              <w:rPr>
                <w:b/>
                <w:bCs/>
                <w:color w:val="00000A"/>
                <w:sz w:val="14"/>
                <w:szCs w:val="14"/>
                <w:lang w:val="uk-UA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Times New Roman" w:hAnsi="Times New Roman"/>
                <w:b/>
                <w:b/>
                <w:bCs/>
                <w:color w:val="00000A"/>
                <w:sz w:val="14"/>
                <w:szCs w:val="14"/>
                <w:lang w:val="uk-UA"/>
              </w:rPr>
            </w:pPr>
            <w:r>
              <w:rPr>
                <w:b/>
                <w:bCs/>
                <w:color w:val="00000A"/>
                <w:sz w:val="14"/>
                <w:szCs w:val="14"/>
                <w:lang w:val="uk-UA"/>
              </w:rPr>
            </w:r>
          </w:p>
        </w:tc>
        <w:tc>
          <w:tcPr>
            <w:tcW w:w="99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Times New Roman" w:hAnsi="Times New Roman"/>
                <w:b/>
                <w:b/>
                <w:bCs/>
                <w:color w:val="00000A"/>
                <w:sz w:val="14"/>
                <w:szCs w:val="14"/>
                <w:lang w:val="uk-UA"/>
              </w:rPr>
            </w:pPr>
            <w:r>
              <w:rPr>
                <w:b/>
                <w:bCs/>
                <w:color w:val="00000A"/>
                <w:sz w:val="14"/>
                <w:szCs w:val="14"/>
                <w:lang w:val="uk-UA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Times New Roman" w:hAnsi="Times New Roman"/>
                <w:b/>
                <w:b/>
                <w:bCs/>
                <w:color w:val="00000A"/>
                <w:sz w:val="14"/>
                <w:szCs w:val="14"/>
                <w:lang w:val="uk-UA"/>
              </w:rPr>
            </w:pPr>
            <w:r>
              <w:rPr>
                <w:b/>
                <w:bCs/>
                <w:color w:val="00000A"/>
                <w:sz w:val="14"/>
                <w:szCs w:val="14"/>
                <w:lang w:val="uk-UA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Times New Roman" w:hAnsi="Times New Roman"/>
                <w:b/>
                <w:b/>
                <w:bCs/>
                <w:color w:val="00000A"/>
                <w:sz w:val="14"/>
                <w:szCs w:val="14"/>
                <w:lang w:val="uk-UA"/>
              </w:rPr>
            </w:pPr>
            <w:r>
              <w:rPr>
                <w:b/>
                <w:bCs/>
                <w:color w:val="00000A"/>
                <w:sz w:val="14"/>
                <w:szCs w:val="14"/>
                <w:lang w:val="uk-UA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Times New Roman" w:hAnsi="Times New Roman"/>
                <w:b/>
                <w:b/>
                <w:bCs/>
                <w:color w:val="00000A"/>
                <w:sz w:val="14"/>
                <w:szCs w:val="14"/>
                <w:lang w:val="uk-UA"/>
              </w:rPr>
            </w:pPr>
            <w:r>
              <w:rPr>
                <w:b/>
                <w:bCs/>
                <w:color w:val="00000A"/>
                <w:sz w:val="14"/>
                <w:szCs w:val="14"/>
                <w:lang w:val="uk-UA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Times New Roman" w:hAnsi="Times New Roman"/>
                <w:b/>
                <w:b/>
                <w:bCs/>
                <w:color w:val="00000A"/>
                <w:sz w:val="14"/>
                <w:szCs w:val="14"/>
                <w:lang w:val="uk-UA"/>
              </w:rPr>
            </w:pPr>
            <w:r>
              <w:rPr>
                <w:b/>
                <w:bCs/>
                <w:color w:val="00000A"/>
                <w:sz w:val="14"/>
                <w:szCs w:val="14"/>
                <w:lang w:val="uk-UA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Times New Roman" w:hAnsi="Times New Roman"/>
                <w:b/>
                <w:b/>
                <w:bCs/>
                <w:color w:val="00000A"/>
                <w:sz w:val="14"/>
                <w:szCs w:val="14"/>
                <w:lang w:val="uk-UA"/>
              </w:rPr>
            </w:pPr>
            <w:r>
              <w:rPr>
                <w:b/>
                <w:bCs/>
                <w:color w:val="00000A"/>
                <w:sz w:val="14"/>
                <w:szCs w:val="14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коштів місцевого бюджету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міжбюджетних трансфертів з державного бюджету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міжбюджетних трансфертів з інших місцевих бюджетів 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місцевих запозичень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extDirection w:val="btLr"/>
            <w:vAlign w:val="center"/>
          </w:tcPr>
          <w:p>
            <w:pPr>
              <w:pStyle w:val="TableshapkaTABL"/>
              <w:jc w:val="center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інших джерел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Галузь 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 xml:space="preserve">1.1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Про</w:t>
            </w:r>
            <w:r>
              <w:rPr>
                <w:rFonts w:cs="Times New Roman" w:ascii="Times New Roman" w:hAnsi="Times New Roman"/>
                <w:spacing w:val="0"/>
                <w:sz w:val="18"/>
                <w:szCs w:val="18"/>
              </w:rPr>
              <w:t>є</w:t>
            </w:r>
            <w:r>
              <w:rPr>
                <w:rFonts w:ascii="Times New Roman" w:hAnsi="Times New Roman"/>
                <w:spacing w:val="0"/>
                <w:sz w:val="18"/>
                <w:szCs w:val="18"/>
              </w:rPr>
              <w:t>кт / програма 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УСЬОГО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top w:w="68" w:type="dxa"/>
              <w:left w:w="48" w:type="dxa"/>
              <w:bottom w:w="68" w:type="dxa"/>
              <w:right w:w="68" w:type="dxa"/>
            </w:tcMar>
          </w:tcPr>
          <w:p>
            <w:pPr>
              <w:pStyle w:val="Style21"/>
              <w:spacing w:lineRule="auto" w:line="240"/>
              <w:textAlignment w:val="auto"/>
              <w:rPr>
                <w:rFonts w:ascii="Times New Roman" w:hAnsi="Times New Roman"/>
                <w:color w:val="00000A"/>
                <w:sz w:val="18"/>
                <w:szCs w:val="18"/>
                <w:lang w:val="uk-UA"/>
              </w:rPr>
            </w:pPr>
            <w:r>
              <w:rPr>
                <w:color w:val="00000A"/>
                <w:sz w:val="18"/>
                <w:szCs w:val="18"/>
                <w:lang w:val="uk-UA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1069340</wp:posOffset>
            </wp:positionH>
            <wp:positionV relativeFrom="paragraph">
              <wp:posOffset>-45720</wp:posOffset>
            </wp:positionV>
            <wp:extent cx="7316470" cy="203200"/>
            <wp:effectExtent l="0" t="0" r="0" b="0"/>
            <wp:wrapSquare wrapText="largest"/>
            <wp:docPr id="2" name="Объект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ъект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47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850" w:right="850" w:header="0" w:top="56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Pragmatica-BookObl">
    <w:charset w:val="cc"/>
    <w:family w:val="roman"/>
    <w:pitch w:val="variable"/>
  </w:font>
  <w:font w:name="Pragmatica-Bold">
    <w:charset w:val="cc"/>
    <w:family w:val="roman"/>
    <w:pitch w:val="variable"/>
  </w:font>
  <w:font w:name="Pragmatica-Book">
    <w:charset w:val="cc"/>
    <w:family w:val="roman"/>
    <w:pitch w:val="variable"/>
  </w:font>
  <w:font w:name="Baltica-Bold">
    <w:charset w:val="cc"/>
    <w:family w:val="roman"/>
    <w:pitch w:val="variable"/>
  </w:font>
  <w:font w:name="HeliosCond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7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094b"/>
    <w:pPr>
      <w:widowControl/>
      <w:bidi w:val="0"/>
      <w:spacing w:lineRule="auto" w:line="259" w:before="0" w:after="160"/>
      <w:jc w:val="left"/>
    </w:pPr>
    <w:rPr>
      <w:rFonts w:ascii="Calibri" w:hAnsi="Calibri" w:eastAsia="" w:cs="Times New Roman" w:eastAsiaTheme="minorEastAsia"/>
      <w:color w:val="00000A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ій колонтитул Знак"/>
    <w:basedOn w:val="DefaultParagraphFont"/>
    <w:link w:val="a5"/>
    <w:uiPriority w:val="99"/>
    <w:qFormat/>
    <w:rsid w:val="00f26538"/>
    <w:rPr>
      <w:rFonts w:eastAsia="" w:cs="Times New Roman" w:eastAsiaTheme="minorEastAsia"/>
      <w:lang w:eastAsia="uk-UA"/>
    </w:rPr>
  </w:style>
  <w:style w:type="character" w:styleId="Style15" w:customStyle="1">
    <w:name w:val="Нижній колонтитул Знак"/>
    <w:basedOn w:val="DefaultParagraphFont"/>
    <w:link w:val="a7"/>
    <w:uiPriority w:val="99"/>
    <w:qFormat/>
    <w:rsid w:val="00f26538"/>
    <w:rPr>
      <w:rFonts w:eastAsia="" w:cs="Times New Roman" w:eastAsiaTheme="minorEastAsia"/>
      <w:lang w:eastAsia="uk-UA"/>
    </w:rPr>
  </w:style>
  <w:style w:type="character" w:styleId="St121" w:customStyle="1">
    <w:name w:val="st121"/>
    <w:uiPriority w:val="99"/>
    <w:qFormat/>
    <w:rsid w:val="00ed4b2d"/>
    <w:rPr>
      <w:i/>
      <w:iCs/>
      <w:color w:val="000000"/>
    </w:rPr>
  </w:style>
  <w:style w:type="character" w:styleId="St131" w:customStyle="1">
    <w:name w:val="st131"/>
    <w:uiPriority w:val="99"/>
    <w:qFormat/>
    <w:rsid w:val="00ed4b2d"/>
    <w:rPr>
      <w:i/>
      <w:iCs/>
      <w:color w:val="0000FF"/>
    </w:rPr>
  </w:style>
  <w:style w:type="character" w:styleId="St46" w:customStyle="1">
    <w:name w:val="st46"/>
    <w:uiPriority w:val="99"/>
    <w:qFormat/>
    <w:rsid w:val="00ed4b2d"/>
    <w:rPr>
      <w:i/>
      <w:iCs/>
      <w:color w:val="000000"/>
    </w:rPr>
  </w:style>
  <w:style w:type="character" w:styleId="St42" w:customStyle="1">
    <w:name w:val="st42"/>
    <w:uiPriority w:val="99"/>
    <w:qFormat/>
    <w:rsid w:val="00911fe1"/>
    <w:rPr>
      <w:color w:val="00000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 w:customStyle="1">
    <w:name w:val="[Немає стилю абзацу]"/>
    <w:qFormat/>
    <w:rsid w:val="00b4094b"/>
    <w:pPr>
      <w:widowControl w:val="false"/>
      <w:bidi w:val="0"/>
      <w:spacing w:lineRule="auto" w:line="288" w:before="0" w:after="0"/>
      <w:jc w:val="left"/>
      <w:textAlignment w:val="center"/>
    </w:pPr>
    <w:rPr>
      <w:rFonts w:ascii="Times New Roman" w:hAnsi="Times New Roman" w:eastAsia="" w:cs="Times New Roman" w:eastAsiaTheme="minorEastAsia"/>
      <w:color w:val="000000"/>
      <w:kern w:val="0"/>
      <w:sz w:val="24"/>
      <w:szCs w:val="24"/>
      <w:lang w:val="en-US" w:eastAsia="uk-UA" w:bidi="ar-SA"/>
    </w:rPr>
  </w:style>
  <w:style w:type="paragraph" w:styleId="Style22" w:customStyle="1">
    <w:name w:val="реєстраційний код (Общие)"/>
    <w:basedOn w:val="Normal"/>
    <w:uiPriority w:val="99"/>
    <w:qFormat/>
    <w:rsid w:val="00b4094b"/>
    <w:pPr>
      <w:keepNext w:val="true"/>
      <w:widowControl w:val="false"/>
      <w:tabs>
        <w:tab w:val="right" w:pos="6350" w:leader="none"/>
      </w:tabs>
      <w:spacing w:lineRule="auto" w:line="252" w:before="454" w:after="283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4"/>
      <w:szCs w:val="14"/>
    </w:rPr>
  </w:style>
  <w:style w:type="paragraph" w:styleId="Ch6" w:customStyle="1">
    <w:name w:val="Организация (Ch_6 Міністерства)"/>
    <w:basedOn w:val="Normal"/>
    <w:uiPriority w:val="99"/>
    <w:qFormat/>
    <w:rsid w:val="00b4094b"/>
    <w:pPr>
      <w:keepNext w:val="true"/>
      <w:keepLines/>
      <w:widowControl w:val="false"/>
      <w:tabs>
        <w:tab w:val="right" w:pos="6350" w:leader="none"/>
      </w:tabs>
      <w:spacing w:lineRule="auto" w:line="276" w:before="0" w:after="0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90"/>
      <w:sz w:val="24"/>
      <w:szCs w:val="24"/>
    </w:rPr>
  </w:style>
  <w:style w:type="paragraph" w:styleId="Ch61" w:customStyle="1">
    <w:name w:val="Тип акта (Ch_6 Міністерства)"/>
    <w:basedOn w:val="Normal"/>
    <w:uiPriority w:val="99"/>
    <w:qFormat/>
    <w:rsid w:val="00b4094b"/>
    <w:pPr>
      <w:keepNext w:val="true"/>
      <w:keepLines/>
      <w:widowControl w:val="false"/>
      <w:tabs>
        <w:tab w:val="right" w:pos="7710" w:leader="none"/>
      </w:tabs>
      <w:spacing w:lineRule="auto" w:line="252" w:before="170" w:after="113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130"/>
      <w:sz w:val="24"/>
      <w:szCs w:val="24"/>
    </w:rPr>
  </w:style>
  <w:style w:type="paragraph" w:styleId="DataZareestrovanoCh6" w:customStyle="1">
    <w:name w:val="Data_Zareestrovano (Ch_6 Міністерства)"/>
    <w:basedOn w:val="Style21"/>
    <w:uiPriority w:val="99"/>
    <w:qFormat/>
    <w:rsid w:val="00b4094b"/>
    <w:pPr>
      <w:keepNext w:val="true"/>
      <w:tabs>
        <w:tab w:val="right" w:pos="3345" w:leader="none"/>
        <w:tab w:val="center" w:pos="3855" w:leader="none"/>
        <w:tab w:val="left" w:pos="4365" w:leader="none"/>
        <w:tab w:val="right" w:pos="6350" w:leader="none"/>
      </w:tabs>
      <w:spacing w:lineRule="auto" w:line="252" w:before="40" w:after="0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styleId="Ch62" w:customStyle="1">
    <w:name w:val="Зареєстровано... (Ch_6 Міністерства)"/>
    <w:basedOn w:val="Normal"/>
    <w:uiPriority w:val="99"/>
    <w:qFormat/>
    <w:rsid w:val="00b4094b"/>
    <w:pPr>
      <w:keepNext w:val="true"/>
      <w:keepLines/>
      <w:widowControl w:val="false"/>
      <w:tabs>
        <w:tab w:val="right" w:pos="6350" w:leader="none"/>
      </w:tabs>
      <w:spacing w:lineRule="auto" w:line="252" w:before="113" w:after="113"/>
      <w:jc w:val="center"/>
      <w:textAlignment w:val="center"/>
    </w:pPr>
    <w:rPr>
      <w:rFonts w:ascii="Pragmatica-Book" w:hAnsi="Pragmatica-Book" w:cs="Pragmatica-Book"/>
      <w:color w:val="000000"/>
      <w:w w:val="90"/>
      <w:sz w:val="16"/>
      <w:szCs w:val="16"/>
    </w:rPr>
  </w:style>
  <w:style w:type="paragraph" w:styleId="N7777Ch6" w:customStyle="1">
    <w:name w:val="n7777 Название акта (Ch_6 Міністерства)"/>
    <w:basedOn w:val="Normal"/>
    <w:uiPriority w:val="99"/>
    <w:qFormat/>
    <w:rsid w:val="00b4094b"/>
    <w:pPr>
      <w:keepNext w:val="true"/>
      <w:keepLines/>
      <w:widowControl w:val="false"/>
      <w:tabs>
        <w:tab w:val="left" w:pos="1304" w:leader="none"/>
        <w:tab w:val="right" w:pos="6350" w:leader="none"/>
      </w:tabs>
      <w:suppressAutoHyphens w:val="true"/>
      <w:spacing w:lineRule="auto" w:line="252" w:before="57" w:after="170"/>
      <w:textAlignment w:val="center"/>
    </w:pPr>
    <w:rPr>
      <w:rFonts w:ascii="Baltica-Bold" w:hAnsi="Baltica-Bold" w:cs="Baltica-Bold"/>
      <w:b/>
      <w:bCs/>
      <w:color w:val="000000"/>
      <w:w w:val="90"/>
      <w:sz w:val="24"/>
      <w:szCs w:val="24"/>
    </w:rPr>
  </w:style>
  <w:style w:type="paragraph" w:styleId="Ch63" w:customStyle="1">
    <w:name w:val="Основной текст (Ch_6 Міністерства)"/>
    <w:basedOn w:val="Normal"/>
    <w:uiPriority w:val="99"/>
    <w:qFormat/>
    <w:rsid w:val="00b4094b"/>
    <w:pPr>
      <w:widowControl w:val="false"/>
      <w:tabs>
        <w:tab w:val="right" w:pos="7710" w:leader="none"/>
        <w:tab w:val="right" w:pos="11514" w:leader="none"/>
      </w:tabs>
      <w:spacing w:lineRule="auto" w:line="252" w:before="0" w:after="0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styleId="Ch64" w:customStyle="1">
    <w:name w:val="Преамбула (Ch_6 Міністерства)"/>
    <w:basedOn w:val="Normal"/>
    <w:uiPriority w:val="99"/>
    <w:qFormat/>
    <w:rsid w:val="00b4094b"/>
    <w:pPr>
      <w:keepNext w:val="true"/>
      <w:keepLines/>
      <w:widowControl w:val="false"/>
      <w:tabs>
        <w:tab w:val="right" w:pos="6350" w:leader="none"/>
      </w:tabs>
      <w:spacing w:lineRule="auto" w:line="252" w:before="113" w:after="85"/>
      <w:jc w:val="both"/>
      <w:textAlignment w:val="center"/>
    </w:pPr>
    <w:rPr>
      <w:rFonts w:ascii="Pragmatica-Book" w:hAnsi="Pragmatica-Book" w:cs="Pragmatica-Book"/>
      <w:caps/>
      <w:color w:val="000000"/>
      <w:w w:val="90"/>
      <w:sz w:val="18"/>
      <w:szCs w:val="18"/>
    </w:rPr>
  </w:style>
  <w:style w:type="paragraph" w:styleId="Ch65" w:customStyle="1">
    <w:name w:val="Основной текст (отбивка) (Ch_6 Міністерства)"/>
    <w:basedOn w:val="Normal"/>
    <w:uiPriority w:val="99"/>
    <w:qFormat/>
    <w:rsid w:val="00b4094b"/>
    <w:pPr>
      <w:widowControl w:val="false"/>
      <w:tabs>
        <w:tab w:val="right" w:pos="7710" w:leader="none"/>
        <w:tab w:val="right" w:pos="11514" w:leader="none"/>
      </w:tabs>
      <w:spacing w:lineRule="auto" w:line="252" w:before="57" w:after="0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styleId="Ch66" w:customStyle="1">
    <w:name w:val="подпись (Ch_6 Міністерства)"/>
    <w:basedOn w:val="Normal"/>
    <w:uiPriority w:val="99"/>
    <w:qFormat/>
    <w:rsid w:val="00b4094b"/>
    <w:pPr>
      <w:widowControl w:val="false"/>
      <w:tabs>
        <w:tab w:val="right" w:pos="7427" w:leader="none"/>
        <w:tab w:val="right" w:pos="11401" w:leader="none"/>
      </w:tabs>
      <w:spacing w:lineRule="auto" w:line="252" w:before="85" w:after="0"/>
      <w:ind w:left="283" w:right="283" w:hanging="0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styleId="Ch67" w:customStyle="1">
    <w:name w:val="Заголовок Додатка (Ch_6 Міністерства)"/>
    <w:basedOn w:val="Normal"/>
    <w:uiPriority w:val="99"/>
    <w:qFormat/>
    <w:rsid w:val="00b4094b"/>
    <w:pPr>
      <w:keepNext w:val="true"/>
      <w:keepLines/>
      <w:widowControl w:val="false"/>
      <w:tabs>
        <w:tab w:val="right" w:pos="7710" w:leader="none"/>
      </w:tabs>
      <w:suppressAutoHyphens w:val="true"/>
      <w:spacing w:lineRule="auto" w:line="252" w:before="283" w:after="113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styleId="Ch68" w:customStyle="1">
    <w:name w:val="Основной текст (без абзаца) (Ch_6 Міністерства)"/>
    <w:basedOn w:val="Ch63"/>
    <w:uiPriority w:val="99"/>
    <w:qFormat/>
    <w:rsid w:val="00b4094b"/>
    <w:pPr>
      <w:tabs>
        <w:tab w:val="right" w:pos="7710" w:leader="underscore"/>
        <w:tab w:val="right" w:pos="11514" w:leader="underscore"/>
      </w:tabs>
      <w:ind w:hanging="0"/>
    </w:pPr>
    <w:rPr/>
  </w:style>
  <w:style w:type="paragraph" w:styleId="StrokeCh6" w:customStyle="1">
    <w:name w:val="Stroke (Ch_6 Міністерства)"/>
    <w:basedOn w:val="Style21"/>
    <w:uiPriority w:val="99"/>
    <w:qFormat/>
    <w:rsid w:val="00b4094b"/>
    <w:pPr>
      <w:tabs>
        <w:tab w:val="right" w:pos="7710" w:leader="none"/>
      </w:tabs>
      <w:spacing w:lineRule="auto" w:line="252" w:before="17" w:after="0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styleId="Ch69" w:customStyle="1">
    <w:name w:val="Додаток №_горизонт (Ch_6 Міністерства)"/>
    <w:basedOn w:val="Normal"/>
    <w:uiPriority w:val="99"/>
    <w:qFormat/>
    <w:rsid w:val="00b4094b"/>
    <w:pPr>
      <w:keepNext w:val="true"/>
      <w:keepLines/>
      <w:widowControl w:val="false"/>
      <w:tabs>
        <w:tab w:val="right" w:pos="11514" w:leader="underscore"/>
      </w:tabs>
      <w:suppressAutoHyphens w:val="true"/>
      <w:spacing w:lineRule="auto" w:line="252" w:before="397" w:after="0"/>
      <w:ind w:left="8050" w:hanging="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styleId="TableTABL" w:customStyle="1">
    <w:name w:val="Table (TABL)"/>
    <w:basedOn w:val="Normal"/>
    <w:uiPriority w:val="99"/>
    <w:qFormat/>
    <w:rsid w:val="00b4094b"/>
    <w:pPr>
      <w:widowControl w:val="false"/>
      <w:tabs>
        <w:tab w:val="right" w:pos="7767" w:leader="none"/>
      </w:tabs>
      <w:suppressAutoHyphens w:val="true"/>
      <w:spacing w:lineRule="auto" w:line="252" w:before="0" w:after="0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TABL" w:customStyle="1">
    <w:name w:val="Тис гривень (TABL)"/>
    <w:basedOn w:val="Style21"/>
    <w:uiPriority w:val="99"/>
    <w:qFormat/>
    <w:rsid w:val="00b4094b"/>
    <w:pPr>
      <w:tabs>
        <w:tab w:val="right" w:pos="6350" w:leader="none"/>
      </w:tabs>
      <w:spacing w:lineRule="auto" w:line="252" w:before="113" w:after="0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styleId="TableshapkaTABL" w:customStyle="1">
    <w:name w:val="Table_shapka (TABL)"/>
    <w:basedOn w:val="Normal"/>
    <w:uiPriority w:val="99"/>
    <w:qFormat/>
    <w:rsid w:val="00b4094b"/>
    <w:pPr>
      <w:widowControl w:val="false"/>
      <w:tabs>
        <w:tab w:val="right" w:pos="6350" w:leader="none"/>
      </w:tabs>
      <w:suppressAutoHyphens w:val="true"/>
      <w:spacing w:lineRule="auto" w:line="252" w:before="0" w:after="0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Style23">
    <w:name w:val="Header"/>
    <w:basedOn w:val="Normal"/>
    <w:link w:val="a6"/>
    <w:uiPriority w:val="99"/>
    <w:unhideWhenUsed/>
    <w:rsid w:val="00f2653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unhideWhenUsed/>
    <w:rsid w:val="00f2653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LibreOffice/6.0.2.1$Windows_x86 LibreOffice_project/f7f06a8f319e4b62f9bc5095aa112a65d2f3ac89</Application>
  <Pages>2</Pages>
  <Words>199</Words>
  <Characters>1149</Characters>
  <CharactersWithSpaces>1290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2025-11-10T14:28:00Z</dcterms:created>
  <dc:creator/>
  <dc:description/>
  <dc:language>en-US</dc:language>
  <cp:lastModifiedBy/>
  <cp:lastPrinted>2025-11-27T15:47:40Z</cp:lastPrinted>
  <dcterms:modified xsi:type="dcterms:W3CDTF">2025-11-28T13:09:16Z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