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4" w:rsidRPr="00E4173B" w:rsidRDefault="00CA6DA2" w:rsidP="00CA6DA2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Інформація про хід виконання районною державною адміністрацією повноважень, делегованих районною радою, з питань сприяння розвитку молодіжної інфраструктури, молодіжних центрів, інших суб’єктів молодіжної роботи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Реалізація молодіжної політики в територіальних громадах Броварського району здійснюється шляхом функціонування відповідних структурних підрозділів, діяльності молодіжних рад та молодіжних просторів. Основна мета – створення сприятливих умов для розвитку молоді, її соціальної активності, громадянської відповідальності, формування національно-патріотичних цінностей та всебічної підтримки ініціатив.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 xml:space="preserve">У територіальних громадах Броварського району створено профільні сектори або відділи, що координують роботу з молоддю. Молодіжні ради, які є дорадчими органами при органах місцевого самоврядування, активно долучаються до процесів ухвалення рішень, ініціюють та реалізовують різноманітні </w:t>
      </w:r>
      <w:proofErr w:type="spellStart"/>
      <w:r w:rsidRPr="00E4173B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E4173B">
        <w:rPr>
          <w:rFonts w:ascii="Times New Roman" w:hAnsi="Times New Roman" w:cs="Times New Roman"/>
          <w:sz w:val="28"/>
          <w:szCs w:val="28"/>
          <w:lang w:val="uk-UA"/>
        </w:rPr>
        <w:t>. Молодіжні простори – це платформи для спілкування, навчання, дозвілля та розвитку, які поступово стають центрами активності молодих людей.</w:t>
      </w:r>
    </w:p>
    <w:p w:rsidR="00494FA0" w:rsidRDefault="00494FA0" w:rsidP="00CA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Діяльність у сфері молодіжної політики фінансується за рахунок місцевих бюджетів, за підтримки донорів або партнерських організацій.</w:t>
      </w:r>
    </w:p>
    <w:p w:rsidR="00CA6DA2" w:rsidRPr="00CA3493" w:rsidRDefault="00CA6DA2" w:rsidP="00CA3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FA0" w:rsidRPr="00E4173B" w:rsidRDefault="00494FA0" w:rsidP="00CA6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Інфраструктура молодіжної політики в територіальних громадах </w:t>
      </w:r>
    </w:p>
    <w:p w:rsidR="00C04049" w:rsidRPr="00E4173B" w:rsidRDefault="00494FA0" w:rsidP="00E417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</w:t>
      </w:r>
    </w:p>
    <w:p w:rsidR="00494FA0" w:rsidRPr="00E4173B" w:rsidRDefault="00494FA0" w:rsidP="00E417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495"/>
        <w:gridCol w:w="2433"/>
        <w:gridCol w:w="1844"/>
        <w:gridCol w:w="2942"/>
      </w:tblGrid>
      <w:tr w:rsidR="000500B4" w:rsidRPr="00E4173B" w:rsidTr="00E4173B">
        <w:trPr>
          <w:trHeight w:val="803"/>
        </w:trPr>
        <w:tc>
          <w:tcPr>
            <w:tcW w:w="239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Територіальна громада</w:t>
            </w:r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Структурний підрозділ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Молодіжна рада</w:t>
            </w:r>
          </w:p>
        </w:tc>
        <w:tc>
          <w:tcPr>
            <w:tcW w:w="294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Молодіжний простір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Баришівська</w:t>
            </w:r>
            <w:proofErr w:type="spellEnd"/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молоді та спорту відділу освіти молоді та спорту 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Баришівської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</w:t>
            </w:r>
          </w:p>
          <w:p w:rsidR="000500B4" w:rsidRPr="00E4173B" w:rsidRDefault="000500B4" w:rsidP="00CA6DA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Наявний молодіжний простір «</w:t>
            </w:r>
            <w:r w:rsidRPr="00E41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FUNHUB</w:t>
            </w: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Березанська</w:t>
            </w:r>
            <w:proofErr w:type="spellEnd"/>
          </w:p>
        </w:tc>
        <w:tc>
          <w:tcPr>
            <w:tcW w:w="2393" w:type="dxa"/>
            <w:vAlign w:val="center"/>
          </w:tcPr>
          <w:p w:rsidR="000500B4" w:rsidRPr="00E4173B" w:rsidRDefault="00AB5DD3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AB5DD3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</w:t>
            </w:r>
          </w:p>
        </w:tc>
        <w:tc>
          <w:tcPr>
            <w:tcW w:w="2942" w:type="dxa"/>
            <w:vAlign w:val="center"/>
          </w:tcPr>
          <w:p w:rsidR="00AB5DD3" w:rsidRPr="00E4173B" w:rsidRDefault="00AB5DD3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створено</w:t>
            </w:r>
          </w:p>
          <w:p w:rsidR="000500B4" w:rsidRPr="00E4173B" w:rsidRDefault="00AB5DD3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молодіжного центру, але для роботи з молоддю та реалізації 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використовується приміщення в будинку культури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Броварська</w:t>
            </w:r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культури, сім’ї та молоді </w:t>
            </w: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Броварської міської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Наявна</w:t>
            </w:r>
          </w:p>
        </w:tc>
        <w:tc>
          <w:tcPr>
            <w:tcW w:w="294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створено</w:t>
            </w:r>
          </w:p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молодіжного центру, але для роб</w:t>
            </w:r>
            <w:r w:rsidR="00CA6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оти з </w:t>
            </w:r>
            <w:r w:rsidR="00CA6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молоддю та реалізації </w:t>
            </w:r>
            <w:proofErr w:type="spellStart"/>
            <w:r w:rsidR="00CA6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</w:p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Управлянням та Молодіжною радою використовується простір комунального</w:t>
            </w:r>
          </w:p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клубного типу «Культурно-інноваційна платформа «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ТепЛиця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Великодимерська</w:t>
            </w:r>
            <w:proofErr w:type="spellEnd"/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культури, молоді та спорту Великодимерської селищної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</w:t>
            </w:r>
          </w:p>
        </w:tc>
        <w:tc>
          <w:tcPr>
            <w:tcW w:w="2942" w:type="dxa"/>
            <w:vAlign w:val="center"/>
          </w:tcPr>
          <w:p w:rsidR="000500B4" w:rsidRPr="00E4173B" w:rsidRDefault="00AB5DD3" w:rsidP="00CA6DA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Зазимська</w:t>
            </w:r>
            <w:proofErr w:type="spellEnd"/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культури, молоді та спорту 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Зазимської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4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Наявний, але зараз практично не використовується. Потребує доопрацювання і доукомплектування.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Згурівська</w:t>
            </w:r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молоді та спорту 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Згурівської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</w:t>
            </w:r>
          </w:p>
        </w:tc>
        <w:tc>
          <w:tcPr>
            <w:tcW w:w="294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Наявний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Калинівська</w:t>
            </w:r>
            <w:proofErr w:type="spellEnd"/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виконавчого комітету 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Калинівської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42" w:type="dxa"/>
            <w:vAlign w:val="center"/>
          </w:tcPr>
          <w:p w:rsidR="000500B4" w:rsidRPr="00E4173B" w:rsidRDefault="00CA6DA2" w:rsidP="00CA6DA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00B4" w:rsidRPr="00E4173B" w:rsidTr="00E4173B">
        <w:tc>
          <w:tcPr>
            <w:tcW w:w="2392" w:type="dxa"/>
            <w:vAlign w:val="center"/>
          </w:tcPr>
          <w:p w:rsidR="000500B4" w:rsidRPr="00E4173B" w:rsidRDefault="000500B4" w:rsidP="00CA6D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41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Калитянська</w:t>
            </w:r>
            <w:proofErr w:type="spellEnd"/>
          </w:p>
        </w:tc>
        <w:tc>
          <w:tcPr>
            <w:tcW w:w="2393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молодіжної політики та спорту</w:t>
            </w:r>
          </w:p>
        </w:tc>
        <w:tc>
          <w:tcPr>
            <w:tcW w:w="1844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Заплановано створити у 2025 році</w:t>
            </w:r>
          </w:p>
        </w:tc>
        <w:tc>
          <w:tcPr>
            <w:tcW w:w="2942" w:type="dxa"/>
            <w:vAlign w:val="center"/>
          </w:tcPr>
          <w:p w:rsidR="000500B4" w:rsidRPr="00E4173B" w:rsidRDefault="000500B4" w:rsidP="00CA6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Наявний молодіжний простір «</w:t>
            </w:r>
            <w:proofErr w:type="spellStart"/>
            <w:r w:rsidRPr="00E4173B">
              <w:rPr>
                <w:rFonts w:ascii="Times New Roman" w:hAnsi="Times New Roman" w:cs="Times New Roman"/>
                <w:sz w:val="28"/>
                <w:szCs w:val="28"/>
              </w:rPr>
              <w:t>SweetSpace</w:t>
            </w:r>
            <w:proofErr w:type="spellEnd"/>
            <w:r w:rsidRPr="00E41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E4173B" w:rsidRPr="00E4173B" w:rsidRDefault="00E4173B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FA0" w:rsidRPr="00E4173B" w:rsidRDefault="00E4173B" w:rsidP="00E417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b/>
          <w:sz w:val="28"/>
          <w:szCs w:val="28"/>
          <w:lang w:val="uk-UA"/>
        </w:rPr>
        <w:t>Діяльність Броварської районної державної (військової) адміністрації у сфері молодіжної політики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Броварська районна державна (військова) адміністрація, у межах реалізації делегованих повноважень, здійснює координацію діяльності суб’єктів </w:t>
      </w:r>
      <w:r w:rsidRPr="00E4173B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молодіжної роботи, надає організаційну та методичну підтримку, а також сприяє інформаційному супроводу заходів у сфері молодіжної політики.</w:t>
      </w:r>
    </w:p>
    <w:p w:rsidR="00E4173B" w:rsidRPr="00E4173B" w:rsidRDefault="00E4173B" w:rsidP="00E4173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b/>
          <w:sz w:val="28"/>
          <w:szCs w:val="28"/>
          <w:lang w:val="uk-UA"/>
        </w:rPr>
        <w:t>Основні напрямки діяльності адміністрації: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- методична підтримка територіальних громад у створенні та розвитку молодіжних центрів відповідно до Типового положення про молодіжний центр;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- координація дій суб’єктів молодіжної політики в районі, обмін досвідом між громадами;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- інформаційне забезпечення щодо актуальних можливостей, грантів, конкурсів для молоді;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- сприяння організації заходів патріотичного, культурного, освітнього і просвітницького характеру;</w:t>
      </w:r>
    </w:p>
    <w:p w:rsidR="00494FA0" w:rsidRPr="00E4173B" w:rsidRDefault="00494FA0" w:rsidP="00E417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73B">
        <w:rPr>
          <w:rFonts w:ascii="Times New Roman" w:hAnsi="Times New Roman" w:cs="Times New Roman"/>
          <w:sz w:val="28"/>
          <w:szCs w:val="28"/>
          <w:lang w:val="uk-UA"/>
        </w:rPr>
        <w:t>- сприяння підвищення кваліфікації відповідальних осіб через участь у тренінгах, семінарах, навчаннях.</w:t>
      </w:r>
    </w:p>
    <w:p w:rsidR="00494FA0" w:rsidRPr="00494FA0" w:rsidRDefault="00494FA0" w:rsidP="00CA6DA2">
      <w:pPr>
        <w:spacing w:before="100" w:before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7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49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</w:t>
      </w:r>
      <w:proofErr w:type="spellStart"/>
      <w:r w:rsidRPr="0049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представників</w:t>
      </w:r>
      <w:proofErr w:type="spellEnd"/>
      <w:r w:rsidRPr="0049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громад у заходах з </w:t>
      </w:r>
      <w:proofErr w:type="spellStart"/>
      <w:r w:rsidRPr="0049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молодіжної</w:t>
      </w:r>
      <w:proofErr w:type="spellEnd"/>
      <w:r w:rsidRPr="0049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політики</w:t>
      </w:r>
      <w:proofErr w:type="spellEnd"/>
    </w:p>
    <w:p w:rsidR="00494FA0" w:rsidRPr="00494FA0" w:rsidRDefault="00421B4F" w:rsidP="00E4173B">
      <w:pPr>
        <w:spacing w:before="100" w:before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редставники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молодіжної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громадах Броварського району, 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активісти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рад, </w:t>
      </w:r>
      <w:r w:rsidR="00494FA0" w:rsidRPr="00E41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беруть</w:t>
      </w:r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</w:t>
      </w:r>
      <w:r w:rsidR="00494FA0" w:rsidRPr="00E41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заходах</w:t>
      </w:r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фахового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 до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</w:t>
      </w:r>
    </w:p>
    <w:p w:rsidR="00494FA0" w:rsidRPr="00494FA0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21B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бласний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форум молоді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Київщини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організований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 та спорту КОДА – для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практиками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молоддю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A0" w:rsidRPr="004634F5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21B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="00494FA0" w:rsidRPr="004634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ренінги програми «Молодіжний працівник»</w:t>
      </w:r>
      <w:r w:rsidR="00494FA0" w:rsidRPr="00463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проводяться за підтримки Міністерства молоді та спорту України та ДУ «Всеукраїнський молодіжний центр» – для підвищення професійної компетентності у сфері молодіжної роботи;</w:t>
      </w:r>
    </w:p>
    <w:p w:rsidR="00494FA0" w:rsidRPr="00494FA0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21B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бласна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лідерства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молодіжні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активісти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розвивали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проєктного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та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A0" w:rsidRPr="00494FA0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21B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атріотичні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табори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збори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організовані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ветеранськими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ЗСУ та ТРО – для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національно-патріотичного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молоді;</w:t>
      </w:r>
    </w:p>
    <w:p w:rsidR="00494FA0" w:rsidRPr="00494FA0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21B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авчання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проєктного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менеджменту</w:t>
      </w:r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грантрайтингу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грамотності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FA0" w:rsidRPr="00494FA0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</w:t>
      </w:r>
      <w:r w:rsidR="00421B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бласні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наради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круглі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молодіжної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просторів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рад;</w:t>
      </w:r>
    </w:p>
    <w:p w:rsidR="00494FA0" w:rsidRPr="00494FA0" w:rsidRDefault="00CA6DA2" w:rsidP="00CA6DA2">
      <w:pPr>
        <w:numPr>
          <w:ilvl w:val="0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Всеукраїнські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конкурси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онлайн-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марафони</w:t>
      </w:r>
      <w:proofErr w:type="spellEnd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="00494FA0" w:rsidRPr="00494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акції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494FA0"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FA0" w:rsidRPr="00494FA0" w:rsidRDefault="00494FA0" w:rsidP="00E4173B">
      <w:pPr>
        <w:numPr>
          <w:ilvl w:val="1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CA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 «Днях </w:t>
      </w:r>
      <w:proofErr w:type="spellStart"/>
      <w:proofErr w:type="gramStart"/>
      <w:r w:rsidR="00CA6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="00CA6DA2">
        <w:rPr>
          <w:rFonts w:ascii="Times New Roman" w:eastAsia="Times New Roman" w:hAnsi="Times New Roman" w:cs="Times New Roman"/>
          <w:sz w:val="28"/>
          <w:szCs w:val="28"/>
          <w:lang w:eastAsia="ru-RU"/>
        </w:rPr>
        <w:t>іжної</w:t>
      </w:r>
      <w:proofErr w:type="spellEnd"/>
      <w:r w:rsidR="00CA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A6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494FA0" w:rsidRPr="00494FA0" w:rsidRDefault="00494FA0" w:rsidP="00E4173B">
      <w:pPr>
        <w:numPr>
          <w:ilvl w:val="1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«16 </w:t>
      </w: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94FA0" w:rsidRPr="00E4173B" w:rsidRDefault="00494FA0" w:rsidP="00E4173B">
      <w:pPr>
        <w:numPr>
          <w:ilvl w:val="1"/>
          <w:numId w:val="2"/>
        </w:numPr>
        <w:tabs>
          <w:tab w:val="num" w:pos="720"/>
        </w:tabs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флешмоби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</w:t>
      </w:r>
      <w:proofErr w:type="gram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та Дня </w:t>
      </w: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державності</w:t>
      </w:r>
      <w:proofErr w:type="spellEnd"/>
      <w:r w:rsidRPr="00494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3B" w:rsidRPr="00E4173B" w:rsidRDefault="00E4173B" w:rsidP="00E4173B">
      <w:pPr>
        <w:tabs>
          <w:tab w:val="num" w:pos="4275"/>
        </w:tabs>
        <w:spacing w:before="100" w:before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3B" w:rsidRPr="00E4173B" w:rsidRDefault="00E4173B" w:rsidP="00E41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Внесок</w:t>
      </w:r>
      <w:proofErr w:type="spellEnd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молодіжних</w:t>
      </w:r>
      <w:proofErr w:type="spellEnd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 у </w:t>
      </w:r>
      <w:proofErr w:type="spellStart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розвиток</w:t>
      </w:r>
      <w:proofErr w:type="spellEnd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громад: </w:t>
      </w:r>
      <w:proofErr w:type="spellStart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локальні</w:t>
      </w:r>
      <w:proofErr w:type="spellEnd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</w:t>
      </w:r>
      <w:r w:rsidRPr="00E417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proofErr w:type="spellStart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</w:t>
      </w:r>
      <w:proofErr w:type="spellEnd"/>
      <w:r w:rsidRPr="00E4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173B" w:rsidRPr="00E4173B" w:rsidRDefault="00E4173B" w:rsidP="00E41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4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ініціативи</w:t>
      </w:r>
    </w:p>
    <w:p w:rsidR="00E4173B" w:rsidRPr="00494FA0" w:rsidRDefault="00E4173B" w:rsidP="00E41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6DA2" w:rsidRDefault="00E4173B" w:rsidP="00E417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Молодіжні ради та ініціативні групи територіальних громад активно впроваджують власні локальні ініціативи</w:t>
      </w:r>
      <w:r w:rsid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спрямовані на розвиток громад</w:t>
      </w:r>
      <w:r w:rsidRPr="00E41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залучення молоді до різноманітних </w:t>
      </w:r>
      <w:proofErr w:type="spellStart"/>
      <w:r w:rsidRPr="00E41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активностей</w:t>
      </w:r>
      <w:proofErr w:type="spellEnd"/>
      <w:r w:rsidRPr="00E41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22097" w:rsidRDefault="00E4173B" w:rsidP="00E417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таких ініціатив – екологічні акції, направлені на поліпшення навколишнього середовища та підвищення екологічної свідомості, благодійні ярмарки, що сприяють залученню молоді до соціальних ініціатив та збору к</w:t>
      </w:r>
      <w:r w:rsid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оштів на підтримку важливих </w:t>
      </w:r>
      <w:proofErr w:type="spellStart"/>
      <w:r w:rsid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Pr="00CA6D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63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організовуються інформаційні кампанії у соціальних мережах, які охоплюють важливі соціальні теми та ініціативи, культурні події, що сприяють розвитку творчих здібностей молоді, велопробіги для популяризації здорового способу життя, спортивні заходи та змагання, а також кінопокази, які стали популярними серед молоді для проведення дозвілля та ознайомлення з актуальними культурними і соціальними темами.</w:t>
      </w:r>
    </w:p>
    <w:p w:rsidR="004634F5" w:rsidRDefault="004634F5" w:rsidP="004634F5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34F5" w:rsidRDefault="004634F5" w:rsidP="004634F5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34F5" w:rsidRDefault="004634F5" w:rsidP="004634F5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34F5" w:rsidRDefault="004634F5" w:rsidP="004634F5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34F5" w:rsidRPr="004634F5" w:rsidRDefault="004634F5" w:rsidP="004634F5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4634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</w:t>
      </w:r>
    </w:p>
    <w:p w:rsidR="004634F5" w:rsidRPr="004634F5" w:rsidRDefault="004634F5" w:rsidP="004634F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34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гуманітарного розвитку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Pr="004634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БІЛАНОВСЬКА</w:t>
      </w:r>
    </w:p>
    <w:p w:rsidR="004634F5" w:rsidRPr="004634F5" w:rsidRDefault="004634F5" w:rsidP="00E417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34F5" w:rsidRPr="004634F5" w:rsidSect="00494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BD4"/>
    <w:multiLevelType w:val="multilevel"/>
    <w:tmpl w:val="C9125A88"/>
    <w:lvl w:ilvl="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  <w:sz w:val="20"/>
      </w:rPr>
    </w:lvl>
  </w:abstractNum>
  <w:abstractNum w:abstractNumId="1">
    <w:nsid w:val="348E731D"/>
    <w:multiLevelType w:val="hybridMultilevel"/>
    <w:tmpl w:val="E534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6"/>
    <w:rsid w:val="00015FBB"/>
    <w:rsid w:val="00022097"/>
    <w:rsid w:val="000500B4"/>
    <w:rsid w:val="00077223"/>
    <w:rsid w:val="001D1922"/>
    <w:rsid w:val="00216391"/>
    <w:rsid w:val="003F71AD"/>
    <w:rsid w:val="00421B4F"/>
    <w:rsid w:val="004634F5"/>
    <w:rsid w:val="0046541C"/>
    <w:rsid w:val="00494FA0"/>
    <w:rsid w:val="005D009E"/>
    <w:rsid w:val="005D1B73"/>
    <w:rsid w:val="00641D6B"/>
    <w:rsid w:val="006F232C"/>
    <w:rsid w:val="00713350"/>
    <w:rsid w:val="007F31FF"/>
    <w:rsid w:val="00856BA4"/>
    <w:rsid w:val="00891C10"/>
    <w:rsid w:val="00AB5DD3"/>
    <w:rsid w:val="00AC360B"/>
    <w:rsid w:val="00BE64CB"/>
    <w:rsid w:val="00C04049"/>
    <w:rsid w:val="00CA3493"/>
    <w:rsid w:val="00CA6DA2"/>
    <w:rsid w:val="00D174A6"/>
    <w:rsid w:val="00D476EF"/>
    <w:rsid w:val="00E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22"/>
    <w:pPr>
      <w:ind w:left="720"/>
      <w:contextualSpacing/>
    </w:pPr>
  </w:style>
  <w:style w:type="table" w:styleId="a4">
    <w:name w:val="Table Grid"/>
    <w:basedOn w:val="a1"/>
    <w:uiPriority w:val="59"/>
    <w:rsid w:val="0046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22"/>
    <w:pPr>
      <w:ind w:left="720"/>
      <w:contextualSpacing/>
    </w:pPr>
  </w:style>
  <w:style w:type="table" w:styleId="a4">
    <w:name w:val="Table Grid"/>
    <w:basedOn w:val="a1"/>
    <w:uiPriority w:val="59"/>
    <w:rsid w:val="0046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19907D7-B13C-4FC9-A3F5-2D510D94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3845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pliok</cp:lastModifiedBy>
  <cp:revision>13</cp:revision>
  <cp:lastPrinted>2025-05-13T12:32:00Z</cp:lastPrinted>
  <dcterms:created xsi:type="dcterms:W3CDTF">2024-05-15T12:23:00Z</dcterms:created>
  <dcterms:modified xsi:type="dcterms:W3CDTF">2025-05-22T06:11:00Z</dcterms:modified>
</cp:coreProperties>
</file>