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0E" w:rsidRPr="00D63047" w:rsidRDefault="00A7200E" w:rsidP="00661772">
      <w:pPr>
        <w:tabs>
          <w:tab w:val="left" w:pos="3885"/>
          <w:tab w:val="center" w:pos="4677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D630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63047">
        <w:rPr>
          <w:rFonts w:ascii="Times New Roman" w:hAnsi="Times New Roman" w:cs="Times New Roman"/>
          <w:b/>
          <w:sz w:val="28"/>
          <w:szCs w:val="28"/>
        </w:rPr>
        <w:t xml:space="preserve"> В І Т</w:t>
      </w:r>
    </w:p>
    <w:p w:rsidR="0001058B" w:rsidRPr="00661772" w:rsidRDefault="00A7200E" w:rsidP="00661772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періодичне відстеження результативності регуляторного акта </w:t>
      </w:r>
      <w:r w:rsidR="00741B53" w:rsidRPr="00D63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Броварської районної ради </w:t>
      </w:r>
      <w:r w:rsidR="00073579" w:rsidRPr="00D63047">
        <w:rPr>
          <w:rFonts w:ascii="Times New Roman" w:hAnsi="Times New Roman" w:cs="Times New Roman"/>
          <w:b/>
          <w:sz w:val="28"/>
          <w:szCs w:val="28"/>
        </w:rPr>
        <w:t>«</w:t>
      </w:r>
      <w:r w:rsidR="00073579" w:rsidRPr="00D6304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порядок передачі в оренду майна, що перебуває у спільній власності територіальних громад сіл, селищ Броварського району, типового договору оренди майна, типових додаткових угод до договору оренди майна, яке перебуває у спільній власності територіальних громад сіл, селищ Броварського району, у новій редакції»</w:t>
      </w:r>
    </w:p>
    <w:p w:rsidR="00C85F5A" w:rsidRPr="00661772" w:rsidRDefault="00A7200E" w:rsidP="00661772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01058B">
        <w:rPr>
          <w:rFonts w:ascii="Times New Roman" w:hAnsi="Times New Roman" w:cs="Times New Roman"/>
          <w:b/>
          <w:sz w:val="28"/>
          <w:szCs w:val="28"/>
        </w:rPr>
        <w:t xml:space="preserve"> регуляторного акта</w:t>
      </w:r>
      <w:r w:rsidRPr="0001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FD" w:rsidRPr="00D63047" w:rsidRDefault="00C14AFD" w:rsidP="00661772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0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266BB" w:rsidRPr="00D63047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2B1DD8" w:rsidRPr="00D63047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</w:t>
      </w:r>
      <w:r w:rsidR="005266BB" w:rsidRPr="00D63047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D6304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73579" w:rsidRPr="00D63047">
        <w:rPr>
          <w:rFonts w:ascii="Times New Roman" w:hAnsi="Times New Roman" w:cs="Times New Roman"/>
          <w:sz w:val="28"/>
          <w:szCs w:val="28"/>
          <w:lang w:val="uk-UA"/>
        </w:rPr>
        <w:t>21 серпня 2014 № 677-38-</w:t>
      </w:r>
      <w:r w:rsidR="00073579" w:rsidRPr="00D63047">
        <w:rPr>
          <w:rFonts w:ascii="Times New Roman" w:hAnsi="Times New Roman" w:cs="Times New Roman"/>
          <w:sz w:val="28"/>
          <w:szCs w:val="28"/>
        </w:rPr>
        <w:t>V</w:t>
      </w:r>
      <w:r w:rsidR="00073579" w:rsidRPr="00D6304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3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579" w:rsidRPr="00D63047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порядок передачі в оренду майна, що перебуває у спільній власності територіальних громад сіл, селищ Броварського району, типового договору оренди майна, типових додаткових угод до договору оренди майна, яке перебуває у спільній власності територіальних громад сіл, селищ Броварського району, у новій редакції»</w:t>
      </w:r>
      <w:r w:rsidR="00D630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579" w:rsidRPr="00D63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200E" w:rsidRPr="0001058B" w:rsidRDefault="00A7200E" w:rsidP="0066177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 заходів з відстеження</w:t>
      </w:r>
      <w:r w:rsidRPr="00010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4C7" w:rsidRDefault="00C14AFD" w:rsidP="00661772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Броварська районна державна адміністрація</w:t>
      </w:r>
      <w:r w:rsidR="00A7200E" w:rsidRPr="00A720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00024" w:rsidRPr="00661772" w:rsidRDefault="00A7200E" w:rsidP="00661772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  <w:lang w:val="uk-UA"/>
        </w:rPr>
        <w:t>Цілі прийняття акта</w:t>
      </w:r>
      <w:r w:rsidRPr="00010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279" w:rsidRDefault="00741B53" w:rsidP="00661772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180155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акта є </w:t>
      </w:r>
    </w:p>
    <w:p w:rsidR="00E62279" w:rsidRDefault="00E62279" w:rsidP="00661772">
      <w:pPr>
        <w:pStyle w:val="a3"/>
        <w:numPr>
          <w:ilvl w:val="0"/>
          <w:numId w:val="7"/>
        </w:numPr>
        <w:spacing w:after="0" w:line="312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0D2" w:rsidRPr="00E62279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регуляторного акту у відповідність до норм чинного законодавства, що забезпечить вдосконалення процедури надання в оренду комунального майна спільної власності територіальних громад сіл, селищ </w:t>
      </w:r>
      <w:r w:rsidR="00180155" w:rsidRPr="00E62279">
        <w:rPr>
          <w:rFonts w:ascii="Times New Roman" w:eastAsia="Calibri" w:hAnsi="Times New Roman" w:cs="Times New Roman"/>
          <w:sz w:val="28"/>
          <w:szCs w:val="28"/>
          <w:lang w:val="uk-UA"/>
        </w:rPr>
        <w:t>Броварського району</w:t>
      </w:r>
      <w:r w:rsidR="00180155" w:rsidRPr="00E6227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61772" w:rsidRPr="00661772" w:rsidRDefault="007E50D2" w:rsidP="00661772">
      <w:pPr>
        <w:pStyle w:val="a3"/>
        <w:numPr>
          <w:ilvl w:val="0"/>
          <w:numId w:val="7"/>
        </w:numPr>
        <w:spacing w:line="312" w:lineRule="auto"/>
        <w:ind w:left="0" w:firstLine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279">
        <w:rPr>
          <w:rFonts w:ascii="Times New Roman" w:hAnsi="Times New Roman" w:cs="Times New Roman"/>
          <w:sz w:val="28"/>
          <w:szCs w:val="28"/>
          <w:lang w:val="uk-UA"/>
        </w:rPr>
        <w:t>досягнення балансу інтересів: орендодавців щодо збільшення доходів від оренди комунального майна, орендарів стосовно можливості користування комунальним майном для здійснення підприємницької та іншої діяльності.</w:t>
      </w:r>
    </w:p>
    <w:p w:rsidR="005A4990" w:rsidRPr="0001058B" w:rsidRDefault="00A7200E" w:rsidP="00661772">
      <w:pPr>
        <w:pStyle w:val="a3"/>
        <w:numPr>
          <w:ilvl w:val="0"/>
          <w:numId w:val="6"/>
        </w:numPr>
        <w:spacing w:before="240"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</w:rPr>
        <w:t xml:space="preserve">Строк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10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01058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</w:p>
    <w:p w:rsidR="008626EA" w:rsidRPr="005A4990" w:rsidRDefault="00790747" w:rsidP="00661772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A5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7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59D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A499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259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A4990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2A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5CD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0259D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A499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259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4990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2A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49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943" w:rsidRPr="0001058B" w:rsidRDefault="00A7200E" w:rsidP="0066177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відстеження</w:t>
      </w:r>
      <w:proofErr w:type="spellEnd"/>
      <w:r w:rsidRPr="0001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943" w:rsidRPr="00EF1943" w:rsidRDefault="00790747" w:rsidP="00661772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F1943">
        <w:rPr>
          <w:rFonts w:ascii="Times New Roman" w:hAnsi="Times New Roman" w:cs="Times New Roman"/>
          <w:sz w:val="28"/>
          <w:szCs w:val="28"/>
          <w:lang w:val="uk-UA"/>
        </w:rPr>
        <w:t xml:space="preserve">роведено періодичне відстеження </w:t>
      </w:r>
      <w:r w:rsidR="00B260F5">
        <w:rPr>
          <w:rFonts w:ascii="Times New Roman" w:hAnsi="Times New Roman" w:cs="Times New Roman"/>
          <w:sz w:val="28"/>
          <w:szCs w:val="28"/>
          <w:lang w:val="uk-UA"/>
        </w:rPr>
        <w:t>результативності регуляторного акта.</w:t>
      </w:r>
    </w:p>
    <w:p w:rsidR="00A7200E" w:rsidRPr="0001058B" w:rsidRDefault="00A7200E" w:rsidP="00661772">
      <w:pPr>
        <w:pStyle w:val="a3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одержання</w:t>
      </w:r>
      <w:proofErr w:type="spellEnd"/>
      <w:r w:rsidRPr="00010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058B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010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05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1058B">
        <w:rPr>
          <w:rFonts w:ascii="Times New Roman" w:hAnsi="Times New Roman" w:cs="Times New Roman"/>
          <w:b/>
          <w:sz w:val="28"/>
          <w:szCs w:val="28"/>
        </w:rPr>
        <w:t>ідстеження</w:t>
      </w:r>
      <w:proofErr w:type="spellEnd"/>
      <w:r w:rsidRPr="0001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79" w:rsidRPr="00611830" w:rsidRDefault="00A7200E" w:rsidP="00661772">
      <w:pPr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00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періодичного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використовувався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00E"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 w:rsidRPr="00A7200E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A7200E" w:rsidRPr="0001058B" w:rsidRDefault="00A7200E" w:rsidP="0066177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  <w:lang w:val="uk-UA"/>
        </w:rPr>
        <w:t>Дані на основі яких проводилося відстеження результативності</w:t>
      </w:r>
    </w:p>
    <w:p w:rsidR="001324DA" w:rsidRPr="00707C56" w:rsidRDefault="00A7200E" w:rsidP="00661772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C56">
        <w:rPr>
          <w:rFonts w:ascii="Times New Roman" w:hAnsi="Times New Roman" w:cs="Times New Roman"/>
          <w:sz w:val="28"/>
          <w:szCs w:val="28"/>
          <w:lang w:val="uk-UA"/>
        </w:rPr>
        <w:t>Відстеження результативност</w:t>
      </w:r>
      <w:r w:rsidR="00B260F5" w:rsidRPr="00707C56">
        <w:rPr>
          <w:rFonts w:ascii="Times New Roman" w:hAnsi="Times New Roman" w:cs="Times New Roman"/>
          <w:sz w:val="28"/>
          <w:szCs w:val="28"/>
          <w:lang w:val="uk-UA"/>
        </w:rPr>
        <w:t>і регуляторно</w:t>
      </w:r>
      <w:r w:rsidR="00F0006F" w:rsidRPr="00707C56">
        <w:rPr>
          <w:rFonts w:ascii="Times New Roman" w:hAnsi="Times New Roman" w:cs="Times New Roman"/>
          <w:sz w:val="28"/>
          <w:szCs w:val="28"/>
          <w:lang w:val="uk-UA"/>
        </w:rPr>
        <w:t>го акта проводилось на підставі даних</w:t>
      </w:r>
      <w:r w:rsidR="005F3E86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ECA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районної ради Київської області та </w:t>
      </w:r>
      <w:r w:rsidR="00781F8C" w:rsidRPr="00707C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5ECA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фінансів Броварської районної державної </w:t>
      </w:r>
      <w:r w:rsidR="00C8253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Київської області, а саме 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аналізу інформації </w:t>
      </w:r>
      <w:r w:rsidR="008D068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надходжень до районного бюджету </w:t>
      </w:r>
      <w:r w:rsidR="00707C5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оренди комунального майна спільної власності сіл, селищ Броварського району, 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>кількості звернень орендарів з неврегульованих питань стосовно орендних відносин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7C5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>ільк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07C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59DC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 фактів порушень чинного законодавства щодо використання об’єктів комунальної власності та результати їх ліквідації.</w:t>
      </w:r>
      <w:r w:rsidR="00F0006F" w:rsidRPr="00707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60F5" w:rsidRPr="0001058B" w:rsidRDefault="00A7200E" w:rsidP="0066177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0259DC" w:rsidRPr="00B260F5" w:rsidRDefault="000259DC" w:rsidP="00661772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992"/>
        <w:gridCol w:w="851"/>
        <w:gridCol w:w="992"/>
      </w:tblGrid>
      <w:tr w:rsidR="000259DC" w:rsidRPr="000C2CAE" w:rsidTr="00CA1FFC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№ з/</w:t>
            </w:r>
            <w:proofErr w:type="gram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Показники</w:t>
            </w:r>
            <w:proofErr w:type="spellEnd"/>
          </w:p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0259DC" w:rsidRPr="008D0683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6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(друге </w:t>
            </w:r>
            <w:proofErr w:type="spellStart"/>
            <w:proofErr w:type="gramStart"/>
            <w:r w:rsidRPr="008D068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D0683">
              <w:rPr>
                <w:rFonts w:ascii="Times New Roman" w:hAnsi="Times New Roman" w:cs="Times New Roman"/>
                <w:b/>
                <w:sz w:val="18"/>
                <w:szCs w:val="18"/>
              </w:rPr>
              <w:t>івріччя</w:t>
            </w:r>
            <w:proofErr w:type="spellEnd"/>
            <w:r w:rsidRPr="008D068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0259DC" w:rsidRPr="00611830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18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(перше </w:t>
            </w:r>
            <w:proofErr w:type="spellStart"/>
            <w:proofErr w:type="gramStart"/>
            <w:r w:rsidRPr="0061183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11830">
              <w:rPr>
                <w:rFonts w:ascii="Times New Roman" w:hAnsi="Times New Roman" w:cs="Times New Roman"/>
                <w:b/>
                <w:sz w:val="18"/>
                <w:szCs w:val="18"/>
              </w:rPr>
              <w:t>іврічч</w:t>
            </w:r>
            <w:bookmarkStart w:id="0" w:name="_GoBack"/>
            <w:bookmarkEnd w:id="0"/>
            <w:r w:rsidRPr="0061183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spellEnd"/>
            <w:r w:rsidRPr="006118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259DC" w:rsidTr="00CA1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Сума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надходжень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районного бюджету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від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оренди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комунального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майна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спільної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власності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сіл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селищ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Броварського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району (тис</w:t>
            </w:r>
            <w:proofErr w:type="gram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3F66FD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3F66FD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CB37D4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CB37D4" w:rsidRDefault="00CB37D4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0259DC" w:rsidTr="00CA1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звернень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орендарів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неврегульованих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питань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стосовно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орендних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відносин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  <w:tr w:rsidR="000259DC" w:rsidTr="00CA1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C" w:rsidRPr="00707C56" w:rsidRDefault="000259DC" w:rsidP="00661772">
            <w:pPr>
              <w:pStyle w:val="af"/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фактів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порушень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чинного</w:t>
            </w:r>
            <w:proofErr w:type="gram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законодавства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щодо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використання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об’єктів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комунальної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власності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їх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>ліквідації</w:t>
            </w:r>
            <w:proofErr w:type="spellEnd"/>
            <w:r w:rsidRPr="00707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E" w:rsidRPr="00611830" w:rsidRDefault="000259DC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 (</w:t>
            </w:r>
            <w:r w:rsidRPr="006118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наявність боргу</w:t>
            </w:r>
            <w:r w:rsidR="00707C56" w:rsidRPr="006118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), ліквідовано фактів </w:t>
            </w:r>
          </w:p>
          <w:p w:rsidR="000259DC" w:rsidRPr="00707C56" w:rsidRDefault="00707C56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118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707C56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 (</w:t>
            </w:r>
            <w:r w:rsidRPr="006118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наявність боргу), ліквідовано фактів - 0.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56" w:rsidRPr="00707C56" w:rsidRDefault="00707C56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  <w:p w:rsidR="000259DC" w:rsidRPr="00707C56" w:rsidRDefault="00707C56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6118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наявність боргу), ліквідовано фактів - 0.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DC" w:rsidRPr="00707C56" w:rsidRDefault="00707C56" w:rsidP="00661772">
            <w:pPr>
              <w:pStyle w:val="af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7C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E62279" w:rsidRPr="00E62279" w:rsidRDefault="00A7200E" w:rsidP="00661772">
      <w:pPr>
        <w:pStyle w:val="a3"/>
        <w:numPr>
          <w:ilvl w:val="0"/>
          <w:numId w:val="6"/>
        </w:numPr>
        <w:spacing w:before="240"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Оцінка результатів реалізації регуляторного акта та ступеня </w:t>
      </w:r>
    </w:p>
    <w:p w:rsidR="00A7200E" w:rsidRPr="00E62279" w:rsidRDefault="00A7200E" w:rsidP="00661772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279">
        <w:rPr>
          <w:rFonts w:ascii="Times New Roman" w:hAnsi="Times New Roman" w:cs="Times New Roman"/>
          <w:b/>
          <w:sz w:val="28"/>
          <w:szCs w:val="28"/>
          <w:lang w:val="uk-UA"/>
        </w:rPr>
        <w:t>досягнення визначених цілей</w:t>
      </w:r>
      <w:r w:rsidRPr="00E62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3DE8" w:rsidRPr="000F3DE8" w:rsidRDefault="00707C56" w:rsidP="00661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зазначеного регуляторного акта надало можливість </w:t>
      </w:r>
      <w:r w:rsidR="00F0006F">
        <w:rPr>
          <w:rFonts w:ascii="Times New Roman" w:hAnsi="Times New Roman" w:cs="Times New Roman"/>
          <w:sz w:val="28"/>
          <w:szCs w:val="28"/>
          <w:lang w:val="uk-UA"/>
        </w:rPr>
        <w:t xml:space="preserve">Броварській районній раді </w:t>
      </w:r>
      <w:r w:rsidR="00F946FC">
        <w:rPr>
          <w:rFonts w:ascii="Times New Roman" w:hAnsi="Times New Roman" w:cs="Times New Roman"/>
          <w:sz w:val="28"/>
          <w:szCs w:val="28"/>
          <w:lang w:val="uk-UA"/>
        </w:rPr>
        <w:t>здійснювати місцеве регулювання відносин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</w:t>
      </w:r>
      <w:r w:rsidR="00F946FC">
        <w:rPr>
          <w:rFonts w:ascii="Times New Roman" w:hAnsi="Times New Roman" w:cs="Times New Roman"/>
          <w:sz w:val="28"/>
          <w:szCs w:val="28"/>
          <w:lang w:val="uk-UA"/>
        </w:rPr>
        <w:t>передачі в оренду об</w:t>
      </w:r>
      <w:r w:rsidR="00D12ABE" w:rsidRPr="00D12AB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946FC">
        <w:rPr>
          <w:rFonts w:ascii="Times New Roman" w:hAnsi="Times New Roman" w:cs="Times New Roman"/>
          <w:sz w:val="28"/>
          <w:szCs w:val="28"/>
          <w:lang w:val="uk-UA"/>
        </w:rPr>
        <w:t xml:space="preserve">єктів майна, що перебувають у 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спільній </w:t>
      </w:r>
      <w:r w:rsidR="00F946FC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територіальних громад сіл, селищ </w:t>
      </w:r>
      <w:r w:rsidR="00D12AB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946FC">
        <w:rPr>
          <w:rFonts w:ascii="Times New Roman" w:hAnsi="Times New Roman" w:cs="Times New Roman"/>
          <w:sz w:val="28"/>
          <w:szCs w:val="28"/>
          <w:lang w:val="uk-UA"/>
        </w:rPr>
        <w:t>роварського району</w:t>
      </w:r>
      <w:r w:rsidR="00CB37D4"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контролювати їх надання в оренду</w:t>
      </w:r>
      <w:r w:rsidR="00CB56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5615" w:rsidRPr="00F000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1830" w:rsidRDefault="004D3BD5" w:rsidP="0066177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6118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Державна політика України у сфері місцевого самоврядування спирається на інтереси жителів територіальних громад і передбачає децентралізацію влади – тобто передачу від органів виконавчої влади органам місцевого самоврядування значної частини повноважень, ресурсів та відповідальності. </w:t>
      </w:r>
    </w:p>
    <w:p w:rsidR="003B4600" w:rsidRPr="00BF04F2" w:rsidRDefault="00552A4F" w:rsidP="00661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</w:t>
      </w:r>
      <w:r w:rsidRPr="004D3BD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</w:t>
      </w:r>
      <w:r w:rsidR="00611830">
        <w:rPr>
          <w:rFonts w:ascii="Times New Roman" w:hAnsi="Times New Roman" w:cs="Times New Roman"/>
          <w:sz w:val="28"/>
          <w:szCs w:val="28"/>
          <w:lang w:val="uk-UA"/>
        </w:rPr>
        <w:t xml:space="preserve">цим, законодавством передбачено, що </w:t>
      </w:r>
      <w:r w:rsidR="00A72DC4" w:rsidRPr="00BF04F2">
        <w:rPr>
          <w:rFonts w:ascii="Times New Roman" w:hAnsi="Times New Roman" w:cs="Times New Roman"/>
          <w:sz w:val="28"/>
          <w:szCs w:val="28"/>
          <w:lang w:val="uk-UA"/>
        </w:rPr>
        <w:t xml:space="preserve">районні ради </w:t>
      </w:r>
      <w:r w:rsidR="004D3BD5">
        <w:rPr>
          <w:rFonts w:ascii="Times New Roman" w:hAnsi="Times New Roman" w:cs="Times New Roman"/>
          <w:sz w:val="28"/>
          <w:szCs w:val="28"/>
          <w:lang w:val="uk-UA"/>
        </w:rPr>
        <w:t xml:space="preserve">повинні </w:t>
      </w:r>
      <w:r w:rsidR="00A72DC4" w:rsidRPr="00BF04F2">
        <w:rPr>
          <w:rFonts w:ascii="Times New Roman" w:hAnsi="Times New Roman" w:cs="Times New Roman"/>
          <w:sz w:val="28"/>
          <w:szCs w:val="28"/>
          <w:lang w:val="uk-UA"/>
        </w:rPr>
        <w:t>переда</w:t>
      </w:r>
      <w:r w:rsidR="004D3BD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A72DC4" w:rsidRPr="00BF04F2">
        <w:rPr>
          <w:rFonts w:ascii="Times New Roman" w:hAnsi="Times New Roman" w:cs="Times New Roman"/>
          <w:sz w:val="28"/>
          <w:szCs w:val="28"/>
          <w:lang w:val="uk-UA"/>
        </w:rPr>
        <w:t xml:space="preserve"> майно спільної власності тим територіальним громадам, на території яких це майно знаходи</w:t>
      </w:r>
      <w:r w:rsidR="0061183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A72DC4" w:rsidRPr="00BF04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66943" w:rsidRDefault="00A72DC4" w:rsidP="00661772">
      <w:pPr>
        <w:spacing w:after="0" w:line="312" w:lineRule="auto"/>
        <w:ind w:firstLine="709"/>
        <w:jc w:val="both"/>
        <w:rPr>
          <w:color w:val="333333"/>
          <w:shd w:val="clear" w:color="auto" w:fill="FFFFFF"/>
          <w:lang w:val="uk-UA"/>
        </w:rPr>
      </w:pPr>
      <w:r w:rsidRPr="00533844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46694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66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 (абзаци 2 і 3</w:t>
      </w:r>
      <w:r w:rsidR="0066177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 п. 10 розділу </w:t>
      </w:r>
      <w:r w:rsidRPr="003B46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положення»)</w:t>
      </w:r>
      <w:r w:rsidR="00466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>визначено, що</w:t>
      </w:r>
      <w:r w:rsidR="00466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майно, передане до комунальної власності областей і районів, а також набуте на інших законних підставах, є спільною власністю територіальних громад сіл, селищ, міст, управління яким відповідно до Конституції України здійснюють районні та обласні ради або уповноважені ними органи.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Відчуження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A72D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2DC4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ним органу. За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селищних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рад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районні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2D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2DC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про передачу до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DC4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A72DC4">
        <w:rPr>
          <w:rFonts w:ascii="Times New Roman" w:hAnsi="Times New Roman" w:cs="Times New Roman"/>
          <w:sz w:val="28"/>
          <w:szCs w:val="28"/>
        </w:rPr>
        <w:t xml:space="preserve"> громад.</w:t>
      </w:r>
      <w:r w:rsidR="00466943" w:rsidRPr="00466943">
        <w:rPr>
          <w:color w:val="333333"/>
          <w:shd w:val="clear" w:color="auto" w:fill="FFFFFF"/>
        </w:rPr>
        <w:t xml:space="preserve"> </w:t>
      </w:r>
    </w:p>
    <w:p w:rsidR="00A72DC4" w:rsidRPr="00186BCA" w:rsidRDefault="00186BCA" w:rsidP="00661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BCA">
        <w:rPr>
          <w:rFonts w:ascii="Times New Roman" w:hAnsi="Times New Roman" w:cs="Times New Roman"/>
          <w:sz w:val="28"/>
          <w:szCs w:val="28"/>
          <w:lang w:val="uk-UA"/>
        </w:rPr>
        <w:t xml:space="preserve">Обов’язок передачі об’єктів цивільних прав, що знаходилися в управлінні районних рад, передбачено Законом України «Про місцеве самоврядування в Україні» (абзац 4 п. 10 Розділу </w:t>
      </w:r>
      <w:r w:rsidRPr="00A72DC4">
        <w:rPr>
          <w:rFonts w:ascii="Times New Roman" w:hAnsi="Times New Roman" w:cs="Times New Roman"/>
          <w:sz w:val="28"/>
          <w:szCs w:val="28"/>
        </w:rPr>
        <w:t>V</w:t>
      </w:r>
      <w:r w:rsidRPr="00186BCA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положення»)</w:t>
      </w:r>
      <w:r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="00466943" w:rsidRPr="00186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равонаступник районної ради району, ліквідованого Верховною Радою України, після припинення відповідних районних рад як юридичних осіб, але не пізніше 1 липня 2021 року, зобов’язаний передати у комунальну власність територіальних громад усі об’єкти спільної власності територіальних громад району, які знаходяться на території цих територіальних громад, відповідно до розмежування видатків між бюджетами, встановлених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E0443">
        <w:fldChar w:fldCharType="begin"/>
      </w:r>
      <w:r w:rsidR="009E0443" w:rsidRPr="00CA1FFC">
        <w:rPr>
          <w:lang w:val="uk-UA"/>
        </w:rPr>
        <w:instrText xml:space="preserve"> </w:instrText>
      </w:r>
      <w:r w:rsidR="009E0443">
        <w:instrText>HYPERLINK</w:instrText>
      </w:r>
      <w:r w:rsidR="009E0443" w:rsidRPr="00CA1FFC">
        <w:rPr>
          <w:lang w:val="uk-UA"/>
        </w:rPr>
        <w:instrText xml:space="preserve"> "</w:instrText>
      </w:r>
      <w:r w:rsidR="009E0443">
        <w:instrText>https</w:instrText>
      </w:r>
      <w:r w:rsidR="009E0443" w:rsidRPr="00CA1FFC">
        <w:rPr>
          <w:lang w:val="uk-UA"/>
        </w:rPr>
        <w:instrText>://</w:instrText>
      </w:r>
      <w:r w:rsidR="009E0443">
        <w:instrText>zakon</w:instrText>
      </w:r>
      <w:r w:rsidR="009E0443" w:rsidRPr="00CA1FFC">
        <w:rPr>
          <w:lang w:val="uk-UA"/>
        </w:rPr>
        <w:instrText>.</w:instrText>
      </w:r>
      <w:r w:rsidR="009E0443">
        <w:instrText>rada</w:instrText>
      </w:r>
      <w:r w:rsidR="009E0443" w:rsidRPr="00CA1FFC">
        <w:rPr>
          <w:lang w:val="uk-UA"/>
        </w:rPr>
        <w:instrText>.</w:instrText>
      </w:r>
      <w:r w:rsidR="009E0443">
        <w:instrText>gov</w:instrText>
      </w:r>
      <w:r w:rsidR="009E0443" w:rsidRPr="00CA1FFC">
        <w:rPr>
          <w:lang w:val="uk-UA"/>
        </w:rPr>
        <w:instrText>.</w:instrText>
      </w:r>
      <w:r w:rsidR="009E0443">
        <w:instrText>ua</w:instrText>
      </w:r>
      <w:r w:rsidR="009E0443" w:rsidRPr="00CA1FFC">
        <w:rPr>
          <w:lang w:val="uk-UA"/>
        </w:rPr>
        <w:instrText>/</w:instrText>
      </w:r>
      <w:r w:rsidR="009E0443">
        <w:instrText>laws</w:instrText>
      </w:r>
      <w:r w:rsidR="009E0443" w:rsidRPr="00CA1FFC">
        <w:rPr>
          <w:lang w:val="uk-UA"/>
        </w:rPr>
        <w:instrText>/</w:instrText>
      </w:r>
      <w:r w:rsidR="009E0443">
        <w:instrText>show</w:instrText>
      </w:r>
      <w:r w:rsidR="009E0443" w:rsidRPr="00CA1FFC">
        <w:rPr>
          <w:lang w:val="uk-UA"/>
        </w:rPr>
        <w:instrText>/2456-17" \</w:instrText>
      </w:r>
      <w:r w:rsidR="009E0443">
        <w:instrText>t</w:instrText>
      </w:r>
      <w:r w:rsidR="009E0443" w:rsidRPr="00CA1FFC">
        <w:rPr>
          <w:lang w:val="uk-UA"/>
        </w:rPr>
        <w:instrText xml:space="preserve"> "_</w:instrText>
      </w:r>
      <w:r w:rsidR="009E0443">
        <w:instrText>blank</w:instrText>
      </w:r>
      <w:r w:rsidR="009E0443" w:rsidRPr="00CA1FFC">
        <w:rPr>
          <w:lang w:val="uk-UA"/>
        </w:rPr>
        <w:instrText xml:space="preserve">" </w:instrText>
      </w:r>
      <w:r w:rsidR="009E0443">
        <w:fldChar w:fldCharType="separate"/>
      </w:r>
      <w:r w:rsidR="00466943" w:rsidRPr="00186BCA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Бюджетним кодексом України</w:t>
      </w:r>
      <w:r w:rsidR="009E0443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fldChar w:fldCharType="end"/>
      </w:r>
      <w:r w:rsidR="00466943" w:rsidRPr="00186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2DC4" w:rsidRPr="003B4600" w:rsidRDefault="00A72DC4" w:rsidP="0066177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Ця норма підкріплена також Бюджетним кодексом України (п. 39 Розділу </w:t>
      </w:r>
      <w:r w:rsidRPr="003B4600">
        <w:rPr>
          <w:rFonts w:ascii="Times New Roman" w:hAnsi="Times New Roman" w:cs="Times New Roman"/>
          <w:sz w:val="28"/>
          <w:szCs w:val="28"/>
        </w:rPr>
        <w:t>V</w:t>
      </w:r>
      <w:r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І «Прикінцеві та перехідні положення»), яким визначено, що </w:t>
      </w:r>
      <w:r w:rsidR="003B4600" w:rsidRPr="00533844">
        <w:rPr>
          <w:rFonts w:ascii="Times New Roman" w:hAnsi="Times New Roman" w:cs="Times New Roman"/>
          <w:sz w:val="28"/>
          <w:szCs w:val="28"/>
          <w:lang w:val="uk-UA"/>
        </w:rPr>
        <w:t xml:space="preserve">районні ради здійснюють передачу із спільної власності територіальних громад сіл, селищ, міст у власність сільських, селищних, міських територіальних громад установ та закладів, розташованих на їхній території, відповідно до розмежування видатків між бюджетами, визначеного цим Кодексом. </w:t>
      </w:r>
      <w:proofErr w:type="gramStart"/>
      <w:r w:rsidR="003B4600" w:rsidRPr="003B46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lastRenderedPageBreak/>
        <w:t>видатки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плануються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3B4600" w:rsidRPr="003B460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3B4600" w:rsidRPr="003B4600">
        <w:rPr>
          <w:rFonts w:ascii="Times New Roman" w:hAnsi="Times New Roman" w:cs="Times New Roman"/>
          <w:sz w:val="28"/>
          <w:szCs w:val="28"/>
        </w:rPr>
        <w:t xml:space="preserve"> громад.</w:t>
      </w:r>
    </w:p>
    <w:p w:rsidR="00F340B8" w:rsidRPr="00661772" w:rsidRDefault="00825FA2" w:rsidP="00661772">
      <w:pPr>
        <w:pStyle w:val="af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5FA2">
        <w:rPr>
          <w:sz w:val="28"/>
          <w:szCs w:val="28"/>
        </w:rPr>
        <w:t xml:space="preserve">ішенням 77 чергової сесії </w:t>
      </w:r>
      <w:r>
        <w:rPr>
          <w:sz w:val="28"/>
          <w:szCs w:val="28"/>
        </w:rPr>
        <w:t>Броварської районної ради Київської області</w:t>
      </w:r>
      <w:r w:rsidRPr="00825FA2">
        <w:rPr>
          <w:sz w:val="28"/>
          <w:szCs w:val="28"/>
        </w:rPr>
        <w:t xml:space="preserve"> від 01 жовтня 2020 року № 1054-77-VІІ</w:t>
      </w:r>
      <w:r>
        <w:rPr>
          <w:sz w:val="28"/>
          <w:szCs w:val="28"/>
        </w:rPr>
        <w:t>, р</w:t>
      </w:r>
      <w:r w:rsidRPr="00825FA2">
        <w:rPr>
          <w:sz w:val="28"/>
          <w:szCs w:val="28"/>
        </w:rPr>
        <w:t xml:space="preserve">озглянувши листи </w:t>
      </w:r>
      <w:proofErr w:type="spellStart"/>
      <w:r w:rsidRPr="00825FA2">
        <w:rPr>
          <w:sz w:val="28"/>
          <w:szCs w:val="28"/>
        </w:rPr>
        <w:t>Великодимерської</w:t>
      </w:r>
      <w:proofErr w:type="spellEnd"/>
      <w:r w:rsidRPr="00825FA2">
        <w:rPr>
          <w:sz w:val="28"/>
          <w:szCs w:val="28"/>
        </w:rPr>
        <w:t xml:space="preserve"> селищної ради № 2068/03-15 від 25.09.2020, </w:t>
      </w:r>
      <w:proofErr w:type="spellStart"/>
      <w:r w:rsidRPr="00825FA2">
        <w:rPr>
          <w:sz w:val="28"/>
          <w:szCs w:val="28"/>
        </w:rPr>
        <w:t>Калинівської</w:t>
      </w:r>
      <w:proofErr w:type="spellEnd"/>
      <w:r w:rsidRPr="00825FA2">
        <w:rPr>
          <w:sz w:val="28"/>
          <w:szCs w:val="28"/>
        </w:rPr>
        <w:t xml:space="preserve"> селищної ради № 1354 від 25.09.2020, </w:t>
      </w:r>
      <w:proofErr w:type="spellStart"/>
      <w:r w:rsidRPr="00825FA2">
        <w:rPr>
          <w:sz w:val="28"/>
          <w:szCs w:val="28"/>
        </w:rPr>
        <w:t>Калитянської</w:t>
      </w:r>
      <w:proofErr w:type="spellEnd"/>
      <w:r w:rsidRPr="00825FA2">
        <w:rPr>
          <w:sz w:val="28"/>
          <w:szCs w:val="28"/>
        </w:rPr>
        <w:t xml:space="preserve"> селищної ради № 1320 від 23.09.2020, </w:t>
      </w:r>
      <w:proofErr w:type="spellStart"/>
      <w:r w:rsidRPr="00825FA2">
        <w:rPr>
          <w:sz w:val="28"/>
          <w:szCs w:val="28"/>
        </w:rPr>
        <w:t>Зазимської</w:t>
      </w:r>
      <w:proofErr w:type="spellEnd"/>
      <w:r w:rsidRPr="00825FA2">
        <w:rPr>
          <w:sz w:val="28"/>
          <w:szCs w:val="28"/>
        </w:rPr>
        <w:t xml:space="preserve"> сільської ради № 602/02-25 від 30.09.2020, керуючись </w:t>
      </w:r>
      <w:r w:rsidR="00661772">
        <w:rPr>
          <w:sz w:val="28"/>
          <w:szCs w:val="28"/>
          <w:lang w:val="ru-RU"/>
        </w:rPr>
        <w:t xml:space="preserve">                    </w:t>
      </w:r>
      <w:r w:rsidRPr="00825FA2">
        <w:rPr>
          <w:sz w:val="28"/>
          <w:szCs w:val="28"/>
        </w:rPr>
        <w:t>статтями 43, 60 Закону України «Про місцеве самоврядування в Україні», пунктом 10 Перехідних положень Закону України «Про місцеве самоврядування в Україні», статтями 1-4 Закону України «Про передачу об’єктів державної та комунальної власності», статтею 8 Закону України «Про добровільне об’єднання територіальних громад», статтями 117, 122, 149 Земельного Кодексу України, враховуючи позитивні висновки та рекомендації постійних комісій районної ради з питань комунальної власності, з питань бюджету, фінансів, соціально-економічного розвитку та з питань регламенту, депутатської етики, законності та правопорядку,</w:t>
      </w:r>
      <w:r w:rsidR="00371DE2" w:rsidRPr="00825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було </w:t>
      </w:r>
      <w:r w:rsidRPr="00D12ABE">
        <w:rPr>
          <w:sz w:val="28"/>
          <w:szCs w:val="28"/>
        </w:rPr>
        <w:t>безоплатно перед</w:t>
      </w:r>
      <w:r>
        <w:rPr>
          <w:sz w:val="28"/>
          <w:szCs w:val="28"/>
        </w:rPr>
        <w:t>ано</w:t>
      </w:r>
      <w:r w:rsidRPr="00D12ABE">
        <w:rPr>
          <w:sz w:val="28"/>
          <w:szCs w:val="28"/>
        </w:rPr>
        <w:t xml:space="preserve"> </w:t>
      </w:r>
      <w:r w:rsidR="00371DE2" w:rsidRPr="00825FA2">
        <w:rPr>
          <w:sz w:val="28"/>
          <w:szCs w:val="28"/>
        </w:rPr>
        <w:t>майно спільної власності територіальних громад</w:t>
      </w:r>
      <w:r w:rsidR="00371DE2" w:rsidRPr="00D12ABE">
        <w:rPr>
          <w:sz w:val="28"/>
          <w:szCs w:val="28"/>
        </w:rPr>
        <w:t xml:space="preserve"> сіл, селищ Броварського району до комунальної власності об’єднаних територіальних громад </w:t>
      </w:r>
      <w:proofErr w:type="spellStart"/>
      <w:r w:rsidR="00371DE2" w:rsidRPr="00D12ABE">
        <w:rPr>
          <w:sz w:val="28"/>
          <w:szCs w:val="28"/>
        </w:rPr>
        <w:t>Великодимерської</w:t>
      </w:r>
      <w:proofErr w:type="spellEnd"/>
      <w:r w:rsidR="00371DE2" w:rsidRPr="00D12ABE">
        <w:rPr>
          <w:sz w:val="28"/>
          <w:szCs w:val="28"/>
        </w:rPr>
        <w:t xml:space="preserve">, </w:t>
      </w:r>
      <w:proofErr w:type="spellStart"/>
      <w:r w:rsidR="00371DE2" w:rsidRPr="00D12ABE">
        <w:rPr>
          <w:sz w:val="28"/>
          <w:szCs w:val="28"/>
        </w:rPr>
        <w:t>Калинівської</w:t>
      </w:r>
      <w:proofErr w:type="spellEnd"/>
      <w:r w:rsidR="00371DE2" w:rsidRPr="00D12ABE">
        <w:rPr>
          <w:sz w:val="28"/>
          <w:szCs w:val="28"/>
        </w:rPr>
        <w:t xml:space="preserve">, </w:t>
      </w:r>
      <w:proofErr w:type="spellStart"/>
      <w:r w:rsidR="00371DE2" w:rsidRPr="00D12ABE">
        <w:rPr>
          <w:sz w:val="28"/>
          <w:szCs w:val="28"/>
        </w:rPr>
        <w:t>Калитянської</w:t>
      </w:r>
      <w:proofErr w:type="spellEnd"/>
      <w:r w:rsidR="00371DE2" w:rsidRPr="00D12ABE">
        <w:rPr>
          <w:sz w:val="28"/>
          <w:szCs w:val="28"/>
        </w:rPr>
        <w:t xml:space="preserve"> селищних рад, </w:t>
      </w:r>
      <w:proofErr w:type="spellStart"/>
      <w:r w:rsidR="00371DE2" w:rsidRPr="00D12ABE">
        <w:rPr>
          <w:sz w:val="28"/>
          <w:szCs w:val="28"/>
        </w:rPr>
        <w:t>Зазимської</w:t>
      </w:r>
      <w:proofErr w:type="spellEnd"/>
      <w:r w:rsidR="00371DE2" w:rsidRPr="00D12ABE">
        <w:rPr>
          <w:sz w:val="28"/>
          <w:szCs w:val="28"/>
        </w:rPr>
        <w:t xml:space="preserve"> сільської ради.</w:t>
      </w:r>
      <w:r w:rsidR="00D12ABE" w:rsidRPr="00D12ABE">
        <w:rPr>
          <w:sz w:val="28"/>
          <w:szCs w:val="28"/>
        </w:rPr>
        <w:t xml:space="preserve"> </w:t>
      </w:r>
    </w:p>
    <w:p w:rsidR="00825FA2" w:rsidRPr="00E550B7" w:rsidRDefault="00825FA2" w:rsidP="0066177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0B7"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uk-UA"/>
        </w:rPr>
        <w:t xml:space="preserve">В </w:t>
      </w:r>
      <w:proofErr w:type="spellStart"/>
      <w:r w:rsidRPr="00E550B7"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uk-UA"/>
        </w:rPr>
        <w:t>зв</w:t>
      </w:r>
      <w:proofErr w:type="spellEnd"/>
      <w:r w:rsidRPr="00E550B7">
        <w:rPr>
          <w:rFonts w:ascii="Times New Roman" w:eastAsia="Times New Roman" w:hAnsi="Times New Roman" w:cs="Times New Roman"/>
          <w:color w:val="393939"/>
          <w:sz w:val="28"/>
          <w:szCs w:val="28"/>
          <w:lang w:eastAsia="uk-UA"/>
        </w:rPr>
        <w:t>’</w:t>
      </w:r>
      <w:proofErr w:type="spellStart"/>
      <w:r w:rsidRPr="00E550B7"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uk-UA"/>
        </w:rPr>
        <w:t>язку</w:t>
      </w:r>
      <w:proofErr w:type="spellEnd"/>
      <w:r w:rsidRPr="00E550B7">
        <w:rPr>
          <w:rFonts w:ascii="Times New Roman" w:eastAsia="Times New Roman" w:hAnsi="Times New Roman" w:cs="Times New Roman"/>
          <w:color w:val="393939"/>
          <w:sz w:val="28"/>
          <w:szCs w:val="28"/>
          <w:lang w:val="uk-UA" w:eastAsia="uk-UA"/>
        </w:rPr>
        <w:t xml:space="preserve"> з вищевикладеним, </w:t>
      </w:r>
      <w:r w:rsidRPr="00E550B7">
        <w:rPr>
          <w:rFonts w:ascii="Times New Roman" w:hAnsi="Times New Roman" w:cs="Times New Roman"/>
          <w:sz w:val="28"/>
          <w:szCs w:val="28"/>
          <w:lang w:val="uk-UA"/>
        </w:rPr>
        <w:t>даний регу</w:t>
      </w:r>
      <w:r w:rsidR="00661772">
        <w:rPr>
          <w:rFonts w:ascii="Times New Roman" w:hAnsi="Times New Roman" w:cs="Times New Roman"/>
          <w:sz w:val="28"/>
          <w:szCs w:val="28"/>
          <w:lang w:val="uk-UA"/>
        </w:rPr>
        <w:t>ляторний акт потребує скасування</w:t>
      </w:r>
      <w:r w:rsidRPr="00E55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5FA2" w:rsidRDefault="00825FA2" w:rsidP="00661772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830" w:rsidRDefault="00611830" w:rsidP="00661772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772" w:rsidRDefault="00D12ABE" w:rsidP="00661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Виконувач обов’язків </w:t>
      </w:r>
    </w:p>
    <w:p w:rsidR="00F40CE2" w:rsidRDefault="00D12ABE" w:rsidP="00661772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533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17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17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17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17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177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 ПРОСКОЧИЛО</w:t>
      </w:r>
    </w:p>
    <w:p w:rsidR="00472668" w:rsidRDefault="00472668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33844" w:rsidRDefault="00533844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1772" w:rsidRDefault="0066177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5FA2" w:rsidRDefault="00BF04F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Яксун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 5 40 88</w:t>
      </w:r>
    </w:p>
    <w:p w:rsidR="00D12ABE" w:rsidRPr="00D12ABE" w:rsidRDefault="00BF04F2" w:rsidP="00661772">
      <w:pPr>
        <w:spacing w:after="0" w:line="31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Н</w:t>
      </w:r>
      <w:r w:rsidR="00D12ABE" w:rsidRPr="00D12ABE">
        <w:rPr>
          <w:rFonts w:ascii="Times New Roman" w:hAnsi="Times New Roman" w:cs="Times New Roman"/>
          <w:sz w:val="16"/>
          <w:szCs w:val="16"/>
          <w:lang w:val="uk-UA"/>
        </w:rPr>
        <w:t>еля Калач 5 40 88</w:t>
      </w:r>
    </w:p>
    <w:sectPr w:rsidR="00D12ABE" w:rsidRPr="00D12ABE" w:rsidSect="00E6227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43" w:rsidRDefault="009E0443" w:rsidP="00D41AE3">
      <w:pPr>
        <w:spacing w:after="0" w:line="240" w:lineRule="auto"/>
      </w:pPr>
      <w:r>
        <w:separator/>
      </w:r>
    </w:p>
  </w:endnote>
  <w:endnote w:type="continuationSeparator" w:id="0">
    <w:p w:rsidR="009E0443" w:rsidRDefault="009E0443" w:rsidP="00D4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CA" w:rsidRDefault="00A55EC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43" w:rsidRDefault="009E0443" w:rsidP="00D41AE3">
      <w:pPr>
        <w:spacing w:after="0" w:line="240" w:lineRule="auto"/>
      </w:pPr>
      <w:r>
        <w:separator/>
      </w:r>
    </w:p>
  </w:footnote>
  <w:footnote w:type="continuationSeparator" w:id="0">
    <w:p w:rsidR="009E0443" w:rsidRDefault="009E0443" w:rsidP="00D4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7240"/>
    <w:multiLevelType w:val="hybridMultilevel"/>
    <w:tmpl w:val="6DDE7096"/>
    <w:lvl w:ilvl="0" w:tplc="B39AB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E2178"/>
    <w:multiLevelType w:val="hybridMultilevel"/>
    <w:tmpl w:val="6212C022"/>
    <w:lvl w:ilvl="0" w:tplc="BFCEE4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335128"/>
    <w:multiLevelType w:val="multilevel"/>
    <w:tmpl w:val="6660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17220"/>
    <w:multiLevelType w:val="hybridMultilevel"/>
    <w:tmpl w:val="61182E70"/>
    <w:lvl w:ilvl="0" w:tplc="09D2F9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02E87"/>
    <w:multiLevelType w:val="hybridMultilevel"/>
    <w:tmpl w:val="EFE013E2"/>
    <w:lvl w:ilvl="0" w:tplc="7FB6E5B4">
      <w:start w:val="1"/>
      <w:numFmt w:val="decimal"/>
      <w:lvlText w:val="%1."/>
      <w:lvlJc w:val="left"/>
      <w:pPr>
        <w:ind w:left="217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>
    <w:nsid w:val="614E341E"/>
    <w:multiLevelType w:val="hybridMultilevel"/>
    <w:tmpl w:val="D158B1F2"/>
    <w:lvl w:ilvl="0" w:tplc="86FAA344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3362B94"/>
    <w:multiLevelType w:val="hybridMultilevel"/>
    <w:tmpl w:val="10C220B4"/>
    <w:lvl w:ilvl="0" w:tplc="750E3744">
      <w:start w:val="8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D94"/>
    <w:rsid w:val="0001058B"/>
    <w:rsid w:val="000259DC"/>
    <w:rsid w:val="00037D56"/>
    <w:rsid w:val="00044DC0"/>
    <w:rsid w:val="0005102E"/>
    <w:rsid w:val="00057E34"/>
    <w:rsid w:val="00073579"/>
    <w:rsid w:val="000A014F"/>
    <w:rsid w:val="000A7CDA"/>
    <w:rsid w:val="000C515A"/>
    <w:rsid w:val="000F35A5"/>
    <w:rsid w:val="000F3DE8"/>
    <w:rsid w:val="00100024"/>
    <w:rsid w:val="00105B56"/>
    <w:rsid w:val="00110927"/>
    <w:rsid w:val="001319D3"/>
    <w:rsid w:val="001324DA"/>
    <w:rsid w:val="00137239"/>
    <w:rsid w:val="001558C1"/>
    <w:rsid w:val="001635D4"/>
    <w:rsid w:val="0016495A"/>
    <w:rsid w:val="00172E82"/>
    <w:rsid w:val="00180155"/>
    <w:rsid w:val="00186BCA"/>
    <w:rsid w:val="00195B8C"/>
    <w:rsid w:val="001F5B4B"/>
    <w:rsid w:val="001F750D"/>
    <w:rsid w:val="00203828"/>
    <w:rsid w:val="00205BAA"/>
    <w:rsid w:val="002246EE"/>
    <w:rsid w:val="00241C63"/>
    <w:rsid w:val="00244A64"/>
    <w:rsid w:val="002631ED"/>
    <w:rsid w:val="00273A2A"/>
    <w:rsid w:val="002900DC"/>
    <w:rsid w:val="00295CDF"/>
    <w:rsid w:val="002B1DD8"/>
    <w:rsid w:val="00301962"/>
    <w:rsid w:val="00332D7F"/>
    <w:rsid w:val="00340C13"/>
    <w:rsid w:val="003428A8"/>
    <w:rsid w:val="00371DE2"/>
    <w:rsid w:val="00374C5B"/>
    <w:rsid w:val="003926DD"/>
    <w:rsid w:val="003A4E92"/>
    <w:rsid w:val="003B02DE"/>
    <w:rsid w:val="003B4600"/>
    <w:rsid w:val="003D13DF"/>
    <w:rsid w:val="003D34BC"/>
    <w:rsid w:val="003D5663"/>
    <w:rsid w:val="003F380B"/>
    <w:rsid w:val="003F66FD"/>
    <w:rsid w:val="003F750C"/>
    <w:rsid w:val="00406146"/>
    <w:rsid w:val="004070FF"/>
    <w:rsid w:val="004129E8"/>
    <w:rsid w:val="004176AC"/>
    <w:rsid w:val="00432D94"/>
    <w:rsid w:val="004525FA"/>
    <w:rsid w:val="00453119"/>
    <w:rsid w:val="00453896"/>
    <w:rsid w:val="00466943"/>
    <w:rsid w:val="00472668"/>
    <w:rsid w:val="00496265"/>
    <w:rsid w:val="004B31D6"/>
    <w:rsid w:val="004C6DC4"/>
    <w:rsid w:val="004C75A3"/>
    <w:rsid w:val="004D3BD5"/>
    <w:rsid w:val="004E32B8"/>
    <w:rsid w:val="004F60F6"/>
    <w:rsid w:val="00522D1E"/>
    <w:rsid w:val="005266BB"/>
    <w:rsid w:val="00533844"/>
    <w:rsid w:val="00543667"/>
    <w:rsid w:val="00552A4F"/>
    <w:rsid w:val="005557EF"/>
    <w:rsid w:val="005570D2"/>
    <w:rsid w:val="005903A8"/>
    <w:rsid w:val="005A2944"/>
    <w:rsid w:val="005A4990"/>
    <w:rsid w:val="005A5BFA"/>
    <w:rsid w:val="005C3EFB"/>
    <w:rsid w:val="005D53C3"/>
    <w:rsid w:val="005D7AAD"/>
    <w:rsid w:val="005F0210"/>
    <w:rsid w:val="005F3E86"/>
    <w:rsid w:val="005F551D"/>
    <w:rsid w:val="00601654"/>
    <w:rsid w:val="006075E5"/>
    <w:rsid w:val="00611830"/>
    <w:rsid w:val="00612743"/>
    <w:rsid w:val="00637AA1"/>
    <w:rsid w:val="006423D0"/>
    <w:rsid w:val="00647898"/>
    <w:rsid w:val="00661772"/>
    <w:rsid w:val="00675784"/>
    <w:rsid w:val="00683C7D"/>
    <w:rsid w:val="00686AFF"/>
    <w:rsid w:val="006B6473"/>
    <w:rsid w:val="006D1C20"/>
    <w:rsid w:val="006D6C1A"/>
    <w:rsid w:val="006E0437"/>
    <w:rsid w:val="006E4B5B"/>
    <w:rsid w:val="00705251"/>
    <w:rsid w:val="00705ED7"/>
    <w:rsid w:val="00707C56"/>
    <w:rsid w:val="0072542D"/>
    <w:rsid w:val="00741B53"/>
    <w:rsid w:val="00757AA5"/>
    <w:rsid w:val="00770F77"/>
    <w:rsid w:val="007744FF"/>
    <w:rsid w:val="00781F8C"/>
    <w:rsid w:val="00790747"/>
    <w:rsid w:val="007A5CD8"/>
    <w:rsid w:val="007C3A82"/>
    <w:rsid w:val="007C3ED1"/>
    <w:rsid w:val="007D7C96"/>
    <w:rsid w:val="007E50D2"/>
    <w:rsid w:val="008162F3"/>
    <w:rsid w:val="00825FA2"/>
    <w:rsid w:val="00826D64"/>
    <w:rsid w:val="00827111"/>
    <w:rsid w:val="008309D8"/>
    <w:rsid w:val="00831AA9"/>
    <w:rsid w:val="008626EA"/>
    <w:rsid w:val="00874222"/>
    <w:rsid w:val="008A0C2E"/>
    <w:rsid w:val="008A67B4"/>
    <w:rsid w:val="008C362B"/>
    <w:rsid w:val="008C6035"/>
    <w:rsid w:val="008D0683"/>
    <w:rsid w:val="008D68F4"/>
    <w:rsid w:val="008E2952"/>
    <w:rsid w:val="008F0380"/>
    <w:rsid w:val="009026ED"/>
    <w:rsid w:val="00902EDE"/>
    <w:rsid w:val="009055A0"/>
    <w:rsid w:val="009106F3"/>
    <w:rsid w:val="00925412"/>
    <w:rsid w:val="009333F7"/>
    <w:rsid w:val="009338C4"/>
    <w:rsid w:val="00937825"/>
    <w:rsid w:val="00946AB3"/>
    <w:rsid w:val="00953CAE"/>
    <w:rsid w:val="00964EF2"/>
    <w:rsid w:val="00982280"/>
    <w:rsid w:val="00991E69"/>
    <w:rsid w:val="009A66D2"/>
    <w:rsid w:val="009B1121"/>
    <w:rsid w:val="009C2B2E"/>
    <w:rsid w:val="009C4BD9"/>
    <w:rsid w:val="009D5564"/>
    <w:rsid w:val="009E0443"/>
    <w:rsid w:val="009E52D2"/>
    <w:rsid w:val="00A10604"/>
    <w:rsid w:val="00A114C7"/>
    <w:rsid w:val="00A11F67"/>
    <w:rsid w:val="00A51B71"/>
    <w:rsid w:val="00A55ECA"/>
    <w:rsid w:val="00A66D26"/>
    <w:rsid w:val="00A66E43"/>
    <w:rsid w:val="00A70202"/>
    <w:rsid w:val="00A71951"/>
    <w:rsid w:val="00A7200E"/>
    <w:rsid w:val="00A72DC4"/>
    <w:rsid w:val="00A756D2"/>
    <w:rsid w:val="00A7732C"/>
    <w:rsid w:val="00AA07A8"/>
    <w:rsid w:val="00AB0C2C"/>
    <w:rsid w:val="00AC495A"/>
    <w:rsid w:val="00AE0089"/>
    <w:rsid w:val="00AE5967"/>
    <w:rsid w:val="00AE6E45"/>
    <w:rsid w:val="00B02AD4"/>
    <w:rsid w:val="00B260F5"/>
    <w:rsid w:val="00B3767C"/>
    <w:rsid w:val="00B50080"/>
    <w:rsid w:val="00B52AD0"/>
    <w:rsid w:val="00B757F4"/>
    <w:rsid w:val="00B83B40"/>
    <w:rsid w:val="00B85BF7"/>
    <w:rsid w:val="00BA30E4"/>
    <w:rsid w:val="00BA6313"/>
    <w:rsid w:val="00BB005E"/>
    <w:rsid w:val="00BD0D79"/>
    <w:rsid w:val="00BF04F2"/>
    <w:rsid w:val="00BF1224"/>
    <w:rsid w:val="00C02D06"/>
    <w:rsid w:val="00C14AFD"/>
    <w:rsid w:val="00C15825"/>
    <w:rsid w:val="00C8253E"/>
    <w:rsid w:val="00C85F5A"/>
    <w:rsid w:val="00CA1FFC"/>
    <w:rsid w:val="00CB1298"/>
    <w:rsid w:val="00CB37D4"/>
    <w:rsid w:val="00CB5615"/>
    <w:rsid w:val="00CD3F3D"/>
    <w:rsid w:val="00CF4E6D"/>
    <w:rsid w:val="00D12ABE"/>
    <w:rsid w:val="00D25092"/>
    <w:rsid w:val="00D27298"/>
    <w:rsid w:val="00D3067E"/>
    <w:rsid w:val="00D41AE3"/>
    <w:rsid w:val="00D63047"/>
    <w:rsid w:val="00D67846"/>
    <w:rsid w:val="00D73698"/>
    <w:rsid w:val="00D85E6D"/>
    <w:rsid w:val="00D87B3C"/>
    <w:rsid w:val="00DB03DB"/>
    <w:rsid w:val="00DE30CA"/>
    <w:rsid w:val="00E16AFF"/>
    <w:rsid w:val="00E4487F"/>
    <w:rsid w:val="00E46760"/>
    <w:rsid w:val="00E62279"/>
    <w:rsid w:val="00E96E79"/>
    <w:rsid w:val="00EB7B1C"/>
    <w:rsid w:val="00EC08CE"/>
    <w:rsid w:val="00ED4EDD"/>
    <w:rsid w:val="00ED575B"/>
    <w:rsid w:val="00ED79CF"/>
    <w:rsid w:val="00EF0D67"/>
    <w:rsid w:val="00EF1943"/>
    <w:rsid w:val="00F0006F"/>
    <w:rsid w:val="00F145BF"/>
    <w:rsid w:val="00F1671B"/>
    <w:rsid w:val="00F340B8"/>
    <w:rsid w:val="00F36B36"/>
    <w:rsid w:val="00F40CE2"/>
    <w:rsid w:val="00F425CD"/>
    <w:rsid w:val="00F63EEB"/>
    <w:rsid w:val="00F666D7"/>
    <w:rsid w:val="00F7146F"/>
    <w:rsid w:val="00F743B7"/>
    <w:rsid w:val="00F946FC"/>
    <w:rsid w:val="00F95F33"/>
    <w:rsid w:val="00FC5357"/>
    <w:rsid w:val="00FD356A"/>
    <w:rsid w:val="00F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DF"/>
  </w:style>
  <w:style w:type="paragraph" w:styleId="5">
    <w:name w:val="heading 5"/>
    <w:basedOn w:val="a"/>
    <w:next w:val="a"/>
    <w:link w:val="50"/>
    <w:qFormat/>
    <w:rsid w:val="00C14AFD"/>
    <w:pPr>
      <w:keepNext/>
      <w:spacing w:after="0" w:line="240" w:lineRule="auto"/>
      <w:ind w:right="-370"/>
      <w:jc w:val="right"/>
      <w:outlineLvl w:val="4"/>
    </w:pPr>
    <w:rPr>
      <w:rFonts w:ascii="Arial" w:eastAsia="Arial Unicode MS" w:hAnsi="Arial" w:cs="Arial"/>
      <w:b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E"/>
    <w:pPr>
      <w:ind w:left="720"/>
      <w:contextualSpacing/>
    </w:pPr>
  </w:style>
  <w:style w:type="table" w:styleId="a4">
    <w:name w:val="Table Grid"/>
    <w:basedOn w:val="a1"/>
    <w:uiPriority w:val="59"/>
    <w:rsid w:val="00B2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14AFD"/>
    <w:rPr>
      <w:rFonts w:ascii="Arial" w:eastAsia="Arial Unicode MS" w:hAnsi="Arial" w:cs="Arial"/>
      <w:b/>
      <w:sz w:val="26"/>
      <w:szCs w:val="26"/>
      <w:lang w:val="uk-UA" w:eastAsia="ru-RU"/>
    </w:rPr>
  </w:style>
  <w:style w:type="paragraph" w:styleId="a5">
    <w:name w:val="Body Text Indent"/>
    <w:aliases w:val="Подпись к рис.,Ïîäïèñü ê ðèñ.,Ïîäïèñü ê ðèñ. Знак"/>
    <w:basedOn w:val="a"/>
    <w:link w:val="a6"/>
    <w:rsid w:val="00374C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aliases w:val="Подпись к рис. Знак,Ïîäïèñü ê ðèñ. Знак1,Ïîäïèñü ê ðèñ. Знак Знак"/>
    <w:basedOn w:val="a0"/>
    <w:link w:val="a5"/>
    <w:rsid w:val="00374C5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">
    <w:name w:val="Основной текст (2)_"/>
    <w:link w:val="20"/>
    <w:rsid w:val="00374C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C5B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styleId="a7">
    <w:name w:val="Emphasis"/>
    <w:uiPriority w:val="20"/>
    <w:qFormat/>
    <w:rsid w:val="00374C5B"/>
    <w:rPr>
      <w:i/>
      <w:iCs/>
    </w:rPr>
  </w:style>
  <w:style w:type="paragraph" w:customStyle="1" w:styleId="1">
    <w:name w:val="Обычный1"/>
    <w:rsid w:val="00374C5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41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1AE3"/>
  </w:style>
  <w:style w:type="paragraph" w:styleId="aa">
    <w:name w:val="footer"/>
    <w:basedOn w:val="a"/>
    <w:link w:val="ab"/>
    <w:uiPriority w:val="99"/>
    <w:unhideWhenUsed/>
    <w:rsid w:val="00D41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1AE3"/>
  </w:style>
  <w:style w:type="paragraph" w:styleId="21">
    <w:name w:val="toc 2"/>
    <w:basedOn w:val="a"/>
    <w:next w:val="a"/>
    <w:autoRedefine/>
    <w:uiPriority w:val="99"/>
    <w:semiHidden/>
    <w:rsid w:val="00CB129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1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129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c">
    <w:name w:val="Title"/>
    <w:aliases w:val="Номер таблиці"/>
    <w:basedOn w:val="a"/>
    <w:link w:val="ad"/>
    <w:qFormat/>
    <w:rsid w:val="004525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Название Знак"/>
    <w:aliases w:val="Номер таблиці Знак"/>
    <w:basedOn w:val="a0"/>
    <w:link w:val="ac"/>
    <w:rsid w:val="004525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e">
    <w:name w:val="Strong"/>
    <w:basedOn w:val="a0"/>
    <w:uiPriority w:val="22"/>
    <w:qFormat/>
    <w:rsid w:val="004525FA"/>
    <w:rPr>
      <w:b/>
      <w:bCs/>
    </w:rPr>
  </w:style>
  <w:style w:type="paragraph" w:styleId="af">
    <w:name w:val="Body Text"/>
    <w:basedOn w:val="a"/>
    <w:link w:val="af0"/>
    <w:unhideWhenUsed/>
    <w:rsid w:val="00F0006F"/>
    <w:pPr>
      <w:spacing w:after="120"/>
    </w:pPr>
  </w:style>
  <w:style w:type="character" w:customStyle="1" w:styleId="af0">
    <w:name w:val="Основной текст Знак"/>
    <w:basedOn w:val="a0"/>
    <w:link w:val="af"/>
    <w:rsid w:val="00F0006F"/>
  </w:style>
  <w:style w:type="paragraph" w:styleId="af1">
    <w:name w:val="Normal (Web)"/>
    <w:basedOn w:val="a"/>
    <w:uiPriority w:val="99"/>
    <w:unhideWhenUsed/>
    <w:rsid w:val="0037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A72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E"/>
    <w:pPr>
      <w:ind w:left="720"/>
      <w:contextualSpacing/>
    </w:pPr>
  </w:style>
  <w:style w:type="table" w:styleId="a4">
    <w:name w:val="Table Grid"/>
    <w:basedOn w:val="a1"/>
    <w:uiPriority w:val="59"/>
    <w:rsid w:val="00B2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D3E16-FF62-42AB-8B92-9FE4D90B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10</cp:lastModifiedBy>
  <cp:revision>64</cp:revision>
  <cp:lastPrinted>2021-08-03T11:15:00Z</cp:lastPrinted>
  <dcterms:created xsi:type="dcterms:W3CDTF">2020-05-29T07:27:00Z</dcterms:created>
  <dcterms:modified xsi:type="dcterms:W3CDTF">2021-08-03T11:19:00Z</dcterms:modified>
</cp:coreProperties>
</file>