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0A" w:rsidRDefault="00530E03" w:rsidP="00530E03">
      <w:pPr>
        <w:pStyle w:val="a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530E03">
        <w:rPr>
          <w:rFonts w:ascii="Times New Roman" w:hAnsi="Times New Roman" w:cs="Times New Roman"/>
          <w:b/>
          <w:lang w:val="uk-UA"/>
        </w:rPr>
        <w:t xml:space="preserve">Інформація </w:t>
      </w:r>
    </w:p>
    <w:p w:rsidR="00530E03" w:rsidRPr="00530E03" w:rsidRDefault="00530E03" w:rsidP="00530E03">
      <w:pPr>
        <w:pStyle w:val="a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530E03">
        <w:rPr>
          <w:rFonts w:ascii="Times New Roman" w:hAnsi="Times New Roman" w:cs="Times New Roman"/>
          <w:b/>
          <w:lang w:val="uk-UA"/>
        </w:rPr>
        <w:t>п</w:t>
      </w:r>
      <w:proofErr w:type="spellStart"/>
      <w:r w:rsidRPr="00530E03">
        <w:rPr>
          <w:rFonts w:ascii="Times New Roman" w:hAnsi="Times New Roman" w:cs="Times New Roman"/>
          <w:b/>
        </w:rPr>
        <w:t>ро</w:t>
      </w:r>
      <w:proofErr w:type="spellEnd"/>
      <w:r w:rsidRPr="00530E03">
        <w:rPr>
          <w:rFonts w:ascii="Times New Roman" w:hAnsi="Times New Roman" w:cs="Times New Roman"/>
          <w:b/>
        </w:rPr>
        <w:t xml:space="preserve"> </w:t>
      </w:r>
      <w:proofErr w:type="spellStart"/>
      <w:r w:rsidRPr="00530E03">
        <w:rPr>
          <w:rFonts w:ascii="Times New Roman" w:hAnsi="Times New Roman" w:cs="Times New Roman"/>
          <w:b/>
        </w:rPr>
        <w:t>хід</w:t>
      </w:r>
      <w:proofErr w:type="spellEnd"/>
      <w:r w:rsidRPr="00530E03">
        <w:rPr>
          <w:rFonts w:ascii="Times New Roman" w:hAnsi="Times New Roman" w:cs="Times New Roman"/>
          <w:b/>
        </w:rPr>
        <w:t xml:space="preserve"> </w:t>
      </w:r>
      <w:proofErr w:type="spellStart"/>
      <w:r w:rsidRPr="00530E03">
        <w:rPr>
          <w:rFonts w:ascii="Times New Roman" w:hAnsi="Times New Roman" w:cs="Times New Roman"/>
          <w:b/>
        </w:rPr>
        <w:t>виконання</w:t>
      </w:r>
      <w:proofErr w:type="spellEnd"/>
      <w:r w:rsidRPr="00530E03">
        <w:rPr>
          <w:rFonts w:ascii="Times New Roman" w:hAnsi="Times New Roman" w:cs="Times New Roman"/>
          <w:b/>
        </w:rPr>
        <w:t xml:space="preserve"> районною державною </w:t>
      </w:r>
      <w:proofErr w:type="spellStart"/>
      <w:r w:rsidRPr="00530E03">
        <w:rPr>
          <w:rFonts w:ascii="Times New Roman" w:hAnsi="Times New Roman" w:cs="Times New Roman"/>
          <w:b/>
        </w:rPr>
        <w:t>адміністрацією</w:t>
      </w:r>
      <w:proofErr w:type="spellEnd"/>
      <w:r w:rsidRPr="00530E03">
        <w:rPr>
          <w:rFonts w:ascii="Times New Roman" w:hAnsi="Times New Roman" w:cs="Times New Roman"/>
          <w:b/>
        </w:rPr>
        <w:t xml:space="preserve"> </w:t>
      </w:r>
      <w:proofErr w:type="spellStart"/>
      <w:r w:rsidRPr="00530E03">
        <w:rPr>
          <w:rFonts w:ascii="Times New Roman" w:hAnsi="Times New Roman" w:cs="Times New Roman"/>
          <w:b/>
        </w:rPr>
        <w:t>повноважень</w:t>
      </w:r>
      <w:proofErr w:type="spellEnd"/>
      <w:r w:rsidRPr="00530E03">
        <w:rPr>
          <w:rFonts w:ascii="Times New Roman" w:hAnsi="Times New Roman" w:cs="Times New Roman"/>
          <w:b/>
        </w:rPr>
        <w:t xml:space="preserve"> </w:t>
      </w:r>
      <w:proofErr w:type="spellStart"/>
      <w:r w:rsidRPr="00530E03">
        <w:rPr>
          <w:rFonts w:ascii="Times New Roman" w:hAnsi="Times New Roman" w:cs="Times New Roman"/>
          <w:b/>
        </w:rPr>
        <w:t>делегованих</w:t>
      </w:r>
      <w:proofErr w:type="spellEnd"/>
      <w:r w:rsidRPr="00530E03">
        <w:rPr>
          <w:rFonts w:ascii="Times New Roman" w:hAnsi="Times New Roman" w:cs="Times New Roman"/>
          <w:b/>
        </w:rPr>
        <w:t xml:space="preserve"> районною радою </w:t>
      </w:r>
      <w:proofErr w:type="spellStart"/>
      <w:r w:rsidRPr="00530E03">
        <w:rPr>
          <w:rFonts w:ascii="Times New Roman" w:hAnsi="Times New Roman" w:cs="Times New Roman"/>
          <w:b/>
        </w:rPr>
        <w:t>з</w:t>
      </w:r>
      <w:proofErr w:type="spellEnd"/>
      <w:r w:rsidRPr="00530E03">
        <w:rPr>
          <w:rFonts w:ascii="Times New Roman" w:hAnsi="Times New Roman" w:cs="Times New Roman"/>
          <w:b/>
        </w:rPr>
        <w:t xml:space="preserve"> </w:t>
      </w:r>
      <w:proofErr w:type="spellStart"/>
      <w:r w:rsidRPr="00530E03">
        <w:rPr>
          <w:rFonts w:ascii="Times New Roman" w:hAnsi="Times New Roman" w:cs="Times New Roman"/>
          <w:b/>
        </w:rPr>
        <w:t>питань</w:t>
      </w:r>
      <w:proofErr w:type="spellEnd"/>
      <w:r w:rsidRPr="00530E03">
        <w:rPr>
          <w:rFonts w:ascii="Times New Roman" w:hAnsi="Times New Roman" w:cs="Times New Roman"/>
          <w:b/>
        </w:rPr>
        <w:t xml:space="preserve"> </w:t>
      </w:r>
      <w:proofErr w:type="spellStart"/>
      <w:r w:rsidRPr="00530E03">
        <w:rPr>
          <w:rFonts w:ascii="Times New Roman" w:hAnsi="Times New Roman" w:cs="Times New Roman"/>
          <w:b/>
        </w:rPr>
        <w:t>забезпечення</w:t>
      </w:r>
      <w:proofErr w:type="spellEnd"/>
      <w:r w:rsidRPr="00530E03">
        <w:rPr>
          <w:rFonts w:ascii="Times New Roman" w:hAnsi="Times New Roman" w:cs="Times New Roman"/>
          <w:b/>
        </w:rPr>
        <w:t xml:space="preserve"> </w:t>
      </w:r>
      <w:proofErr w:type="spellStart"/>
      <w:r w:rsidRPr="00530E03">
        <w:rPr>
          <w:rFonts w:ascii="Times New Roman" w:hAnsi="Times New Roman" w:cs="Times New Roman"/>
          <w:b/>
        </w:rPr>
        <w:t>виконання</w:t>
      </w:r>
      <w:proofErr w:type="spellEnd"/>
      <w:r w:rsidRPr="00530E03">
        <w:rPr>
          <w:rFonts w:ascii="Times New Roman" w:hAnsi="Times New Roman" w:cs="Times New Roman"/>
          <w:b/>
        </w:rPr>
        <w:t xml:space="preserve"> </w:t>
      </w:r>
      <w:proofErr w:type="spellStart"/>
      <w:r w:rsidRPr="00530E03">
        <w:rPr>
          <w:rFonts w:ascii="Times New Roman" w:hAnsi="Times New Roman" w:cs="Times New Roman"/>
          <w:b/>
        </w:rPr>
        <w:t>заходів</w:t>
      </w:r>
      <w:proofErr w:type="spellEnd"/>
      <w:r w:rsidRPr="00530E03">
        <w:rPr>
          <w:rFonts w:ascii="Times New Roman" w:hAnsi="Times New Roman" w:cs="Times New Roman"/>
          <w:b/>
        </w:rPr>
        <w:t xml:space="preserve"> </w:t>
      </w:r>
      <w:proofErr w:type="spellStart"/>
      <w:r w:rsidRPr="00530E03">
        <w:rPr>
          <w:rFonts w:ascii="Times New Roman" w:hAnsi="Times New Roman" w:cs="Times New Roman"/>
          <w:b/>
        </w:rPr>
        <w:t>з</w:t>
      </w:r>
      <w:proofErr w:type="spellEnd"/>
      <w:r w:rsidRPr="00530E03">
        <w:rPr>
          <w:rFonts w:ascii="Times New Roman" w:hAnsi="Times New Roman" w:cs="Times New Roman"/>
          <w:b/>
        </w:rPr>
        <w:t xml:space="preserve"> </w:t>
      </w:r>
      <w:proofErr w:type="spellStart"/>
      <w:r w:rsidRPr="00530E03">
        <w:rPr>
          <w:rFonts w:ascii="Times New Roman" w:hAnsi="Times New Roman" w:cs="Times New Roman"/>
          <w:b/>
        </w:rPr>
        <w:t>відстеження</w:t>
      </w:r>
      <w:proofErr w:type="spellEnd"/>
      <w:r w:rsidRPr="00530E03">
        <w:rPr>
          <w:rFonts w:ascii="Times New Roman" w:hAnsi="Times New Roman" w:cs="Times New Roman"/>
          <w:b/>
        </w:rPr>
        <w:t xml:space="preserve"> </w:t>
      </w:r>
      <w:proofErr w:type="spellStart"/>
      <w:r w:rsidRPr="00530E03">
        <w:rPr>
          <w:rFonts w:ascii="Times New Roman" w:hAnsi="Times New Roman" w:cs="Times New Roman"/>
          <w:b/>
        </w:rPr>
        <w:t>результативності</w:t>
      </w:r>
      <w:proofErr w:type="spellEnd"/>
      <w:r w:rsidRPr="00530E03">
        <w:rPr>
          <w:rFonts w:ascii="Times New Roman" w:hAnsi="Times New Roman" w:cs="Times New Roman"/>
          <w:b/>
        </w:rPr>
        <w:t xml:space="preserve"> </w:t>
      </w:r>
      <w:proofErr w:type="spellStart"/>
      <w:r w:rsidRPr="00530E03">
        <w:rPr>
          <w:rFonts w:ascii="Times New Roman" w:hAnsi="Times New Roman" w:cs="Times New Roman"/>
          <w:b/>
        </w:rPr>
        <w:t>регуляторних</w:t>
      </w:r>
      <w:proofErr w:type="spellEnd"/>
      <w:r w:rsidRPr="00530E03">
        <w:rPr>
          <w:rFonts w:ascii="Times New Roman" w:hAnsi="Times New Roman" w:cs="Times New Roman"/>
          <w:b/>
        </w:rPr>
        <w:t xml:space="preserve"> </w:t>
      </w:r>
      <w:proofErr w:type="spellStart"/>
      <w:r w:rsidRPr="00530E03">
        <w:rPr>
          <w:rFonts w:ascii="Times New Roman" w:hAnsi="Times New Roman" w:cs="Times New Roman"/>
          <w:b/>
        </w:rPr>
        <w:t>актів</w:t>
      </w:r>
      <w:proofErr w:type="spellEnd"/>
      <w:r w:rsidRPr="00530E03">
        <w:rPr>
          <w:rFonts w:ascii="Times New Roman" w:hAnsi="Times New Roman" w:cs="Times New Roman"/>
          <w:b/>
        </w:rPr>
        <w:t xml:space="preserve"> </w:t>
      </w:r>
      <w:proofErr w:type="spellStart"/>
      <w:r w:rsidRPr="00530E03">
        <w:rPr>
          <w:rFonts w:ascii="Times New Roman" w:hAnsi="Times New Roman" w:cs="Times New Roman"/>
          <w:b/>
        </w:rPr>
        <w:t>прийнятих</w:t>
      </w:r>
      <w:proofErr w:type="spellEnd"/>
      <w:r w:rsidRPr="00530E03">
        <w:rPr>
          <w:rFonts w:ascii="Times New Roman" w:hAnsi="Times New Roman" w:cs="Times New Roman"/>
          <w:b/>
        </w:rPr>
        <w:t xml:space="preserve"> районною радою</w:t>
      </w:r>
    </w:p>
    <w:p w:rsidR="00530E03" w:rsidRDefault="00530E03" w:rsidP="00C80464">
      <w:pPr>
        <w:pStyle w:val="a4"/>
        <w:spacing w:before="0" w:beforeAutospacing="0" w:after="0" w:afterAutospacing="0"/>
        <w:ind w:firstLine="709"/>
        <w:jc w:val="both"/>
        <w:rPr>
          <w:b/>
          <w:lang w:val="uk-UA"/>
        </w:rPr>
      </w:pPr>
    </w:p>
    <w:p w:rsidR="00172664" w:rsidRPr="00172664" w:rsidRDefault="00172664" w:rsidP="00172664">
      <w:pPr>
        <w:ind w:firstLine="709"/>
        <w:jc w:val="both"/>
        <w:rPr>
          <w:lang w:val="uk-UA"/>
        </w:rPr>
      </w:pPr>
      <w:r w:rsidRPr="00172664">
        <w:rPr>
          <w:lang w:val="uk-UA"/>
        </w:rPr>
        <w:t>Регуляторна політика в Броварському районі спрямована на вдосконалення правового регулювання господарських відносин, недопущення прийняття економічно недоцільних та неефективних регуляторних актів, зменшення втручання у діяльність суб’єктів господарювання та усунення перешкод для розвитку господарської діяльності.</w:t>
      </w:r>
    </w:p>
    <w:p w:rsidR="00172664" w:rsidRPr="00172664" w:rsidRDefault="00172664" w:rsidP="00172664">
      <w:pPr>
        <w:ind w:firstLine="709"/>
        <w:jc w:val="both"/>
        <w:rPr>
          <w:color w:val="000000"/>
          <w:shd w:val="clear" w:color="auto" w:fill="FFFFFF"/>
          <w:lang w:val="uk-UA"/>
        </w:rPr>
      </w:pPr>
      <w:r w:rsidRPr="00172664">
        <w:rPr>
          <w:shd w:val="clear" w:color="auto" w:fill="FFFFFF"/>
          <w:lang w:val="uk-UA"/>
        </w:rPr>
        <w:t xml:space="preserve">Здійснення регуляторної політики відбувається у відповідності до вимог </w:t>
      </w:r>
      <w:r w:rsidRPr="00172664">
        <w:rPr>
          <w:lang w:val="uk-UA"/>
        </w:rPr>
        <w:t>Закону України від 11.09.2003 № 1160-І</w:t>
      </w:r>
      <w:r>
        <w:rPr>
          <w:lang w:val="en-US"/>
        </w:rPr>
        <w:t>V</w:t>
      </w:r>
      <w:r w:rsidRPr="00172664">
        <w:rPr>
          <w:lang w:val="uk-UA"/>
        </w:rPr>
        <w:t xml:space="preserve"> «Про засади державної регуляторної політики у сфері господарської діяльності» та П</w:t>
      </w:r>
      <w:r w:rsidRPr="00172664">
        <w:rPr>
          <w:color w:val="000000"/>
          <w:shd w:val="clear" w:color="auto" w:fill="FFFFFF"/>
          <w:lang w:val="uk-UA"/>
        </w:rPr>
        <w:t>останови Кабінету Міністрів України від 11.03.2004 № 308 «Про затвердження методик проведення аналізу впливу та відстеження результативності регуляторного акта».</w:t>
      </w:r>
    </w:p>
    <w:p w:rsidR="00172664" w:rsidRPr="00172664" w:rsidRDefault="00172664" w:rsidP="00172664">
      <w:pPr>
        <w:ind w:firstLine="709"/>
        <w:jc w:val="both"/>
        <w:rPr>
          <w:lang w:val="uk-UA"/>
        </w:rPr>
      </w:pPr>
      <w:r w:rsidRPr="00172664">
        <w:rPr>
          <w:lang w:val="uk-UA"/>
        </w:rPr>
        <w:t>Особлива увага приділялася вдосконаленню правового регулювання господарських відносин, недопущення втручання у діяльність суб’єктів господарювання та усунення перешкод для розвитку господарської діяльності. Державна регуляторна політика у сфері господарської діяльності в Броварському районі проводилась із дотриманням принципів доцільності, відповідності форм державного регулювання ринковим вимогам, ефективності, збалансованості інтересів господарювання, громадян та держави, передбачуваності регуляторної діяльності, прозорості та врахування громадської думки.</w:t>
      </w:r>
    </w:p>
    <w:p w:rsidR="00172664" w:rsidRDefault="00172664" w:rsidP="00172664">
      <w:pPr>
        <w:ind w:firstLine="709"/>
        <w:jc w:val="both"/>
        <w:rPr>
          <w:lang w:val="uk-UA"/>
        </w:rPr>
      </w:pPr>
      <w:r w:rsidRPr="00172664">
        <w:rPr>
          <w:lang w:val="uk-UA"/>
        </w:rPr>
        <w:t xml:space="preserve">Відповідно до ст. 37 Закону України «Про засади державної регуляторної політики у сфері господарської діяльності» та підпункту 18 пункту 1 рішення Броварської районної ради від 27.07.2006 № 26-3 </w:t>
      </w:r>
      <w:proofErr w:type="spellStart"/>
      <w:r w:rsidRPr="00172664">
        <w:rPr>
          <w:lang w:val="uk-UA"/>
        </w:rPr>
        <w:t>позач</w:t>
      </w:r>
      <w:proofErr w:type="spellEnd"/>
      <w:r w:rsidRPr="00172664">
        <w:rPr>
          <w:lang w:val="uk-UA"/>
        </w:rPr>
        <w:t xml:space="preserve">. – </w:t>
      </w:r>
      <w:r>
        <w:t>V</w:t>
      </w:r>
      <w:r w:rsidRPr="00172664">
        <w:rPr>
          <w:lang w:val="uk-UA"/>
        </w:rPr>
        <w:t xml:space="preserve"> «Про делегування повноважень Броварської районної ради Броварській районній державній адміністрації», у 20</w:t>
      </w:r>
      <w:r>
        <w:rPr>
          <w:lang w:val="uk-UA"/>
        </w:rPr>
        <w:t>20</w:t>
      </w:r>
      <w:r w:rsidRPr="00172664">
        <w:rPr>
          <w:lang w:val="uk-UA"/>
        </w:rPr>
        <w:t xml:space="preserve"> році райдержадміністраці</w:t>
      </w:r>
      <w:r>
        <w:rPr>
          <w:lang w:val="uk-UA"/>
        </w:rPr>
        <w:t>єю</w:t>
      </w:r>
      <w:r w:rsidRPr="00172664">
        <w:rPr>
          <w:lang w:val="uk-UA"/>
        </w:rPr>
        <w:t xml:space="preserve"> були проведені періодичні відстеження результативності </w:t>
      </w:r>
      <w:r w:rsidR="00FE431D">
        <w:rPr>
          <w:lang w:val="uk-UA"/>
        </w:rPr>
        <w:t>3</w:t>
      </w:r>
      <w:r w:rsidRPr="00172664">
        <w:rPr>
          <w:lang w:val="uk-UA"/>
        </w:rPr>
        <w:t xml:space="preserve"> регуляторних актів, прийнятих Броварською районною радою, а саме:</w:t>
      </w:r>
    </w:p>
    <w:p w:rsidR="00FE431D" w:rsidRDefault="00FE431D" w:rsidP="00172664">
      <w:pPr>
        <w:ind w:firstLine="709"/>
        <w:jc w:val="both"/>
        <w:rPr>
          <w:lang w:val="uk-UA"/>
        </w:rPr>
      </w:pPr>
    </w:p>
    <w:p w:rsidR="00172664" w:rsidRPr="00FE431D" w:rsidRDefault="00172664" w:rsidP="00FE431D">
      <w:pPr>
        <w:ind w:firstLine="709"/>
        <w:jc w:val="both"/>
        <w:rPr>
          <w:b/>
          <w:lang w:val="uk-UA"/>
        </w:rPr>
      </w:pPr>
      <w:r w:rsidRPr="00FE431D">
        <w:rPr>
          <w:b/>
          <w:lang w:val="uk-UA"/>
        </w:rPr>
        <w:t>1.</w:t>
      </w:r>
      <w:r>
        <w:rPr>
          <w:lang w:val="uk-UA"/>
        </w:rPr>
        <w:t xml:space="preserve"> </w:t>
      </w:r>
      <w:r w:rsidRPr="00FE431D">
        <w:rPr>
          <w:lang w:val="uk-UA"/>
        </w:rPr>
        <w:t>Рішення Броварської районної ради від 12 вересня 2013 № 526-28-</w:t>
      </w:r>
      <w:r w:rsidRPr="00FE431D">
        <w:rPr>
          <w:lang w:val="en-US"/>
        </w:rPr>
        <w:t>V</w:t>
      </w:r>
      <w:r w:rsidRPr="00FE431D">
        <w:rPr>
          <w:lang w:val="uk-UA"/>
        </w:rPr>
        <w:t>І</w:t>
      </w:r>
      <w:r w:rsidRPr="00FE431D">
        <w:rPr>
          <w:b/>
          <w:lang w:val="uk-UA"/>
        </w:rPr>
        <w:t xml:space="preserve"> </w:t>
      </w:r>
      <w:r w:rsidRPr="007B699B">
        <w:rPr>
          <w:b/>
          <w:lang w:val="uk-UA"/>
        </w:rPr>
        <w:t>«</w:t>
      </w:r>
      <w:r w:rsidRPr="007B699B">
        <w:rPr>
          <w:rStyle w:val="aa"/>
          <w:b w:val="0"/>
          <w:lang w:val="uk-UA"/>
        </w:rPr>
        <w:t>П</w:t>
      </w:r>
      <w:r w:rsidRPr="00FE431D">
        <w:rPr>
          <w:rStyle w:val="aa"/>
          <w:b w:val="0"/>
          <w:lang w:val="uk-UA"/>
        </w:rPr>
        <w:t>ро затвердження Порядку залучення, розрахунку розміру і використання коштів пайової участі замовників будівництва у створенні і розвитку інженерно-транспортної та соціальної інфраструктури Броварського району</w:t>
      </w:r>
      <w:r w:rsidRPr="007B699B">
        <w:rPr>
          <w:lang w:val="uk-UA"/>
        </w:rPr>
        <w:t>».</w:t>
      </w:r>
    </w:p>
    <w:p w:rsidR="00172664" w:rsidRPr="00172168" w:rsidRDefault="00172664" w:rsidP="00FE431D">
      <w:pPr>
        <w:ind w:firstLine="709"/>
        <w:jc w:val="both"/>
        <w:rPr>
          <w:lang w:val="uk-UA"/>
        </w:rPr>
      </w:pPr>
      <w:r w:rsidRPr="00172168">
        <w:rPr>
          <w:lang w:val="uk-UA"/>
        </w:rPr>
        <w:t>Відстеження результативності регуляторного акта проводилось на підставі</w:t>
      </w:r>
      <w:r>
        <w:rPr>
          <w:lang w:val="uk-UA"/>
        </w:rPr>
        <w:t xml:space="preserve"> даних щодо</w:t>
      </w:r>
      <w:r w:rsidRPr="00172168">
        <w:rPr>
          <w:lang w:val="uk-UA"/>
        </w:rPr>
        <w:t xml:space="preserve">: кількості укладених договорів про пайову участь (внесок) у створенні і розвитку інженерно-транспортної та соціальної інфраструктури Броварського району та </w:t>
      </w:r>
      <w:r>
        <w:rPr>
          <w:lang w:val="uk-UA"/>
        </w:rPr>
        <w:t xml:space="preserve">сплати </w:t>
      </w:r>
      <w:r w:rsidRPr="00282450">
        <w:rPr>
          <w:lang w:val="uk-UA"/>
        </w:rPr>
        <w:t>коштів пайової участі, внесен</w:t>
      </w:r>
      <w:r>
        <w:rPr>
          <w:lang w:val="uk-UA"/>
        </w:rPr>
        <w:t>их</w:t>
      </w:r>
      <w:r w:rsidRPr="00282450">
        <w:rPr>
          <w:lang w:val="uk-UA"/>
        </w:rPr>
        <w:t xml:space="preserve"> у розвиток</w:t>
      </w:r>
      <w:r>
        <w:rPr>
          <w:sz w:val="16"/>
          <w:szCs w:val="16"/>
          <w:lang w:val="uk-UA"/>
        </w:rPr>
        <w:t xml:space="preserve"> </w:t>
      </w:r>
      <w:r w:rsidRPr="00172168">
        <w:rPr>
          <w:lang w:val="uk-UA"/>
        </w:rPr>
        <w:t>інженерно-транспортної та соціальної інфраструктури Броварського району.</w:t>
      </w:r>
    </w:p>
    <w:p w:rsidR="00172664" w:rsidRDefault="00172664" w:rsidP="00172664">
      <w:pPr>
        <w:ind w:firstLine="709"/>
        <w:jc w:val="both"/>
        <w:rPr>
          <w:lang w:val="uk-UA"/>
        </w:rPr>
      </w:pPr>
    </w:p>
    <w:p w:rsidR="00FE431D" w:rsidRPr="00172664" w:rsidRDefault="00FE431D" w:rsidP="00172664">
      <w:pPr>
        <w:ind w:firstLine="709"/>
        <w:jc w:val="both"/>
        <w:rPr>
          <w:lang w:val="uk-UA"/>
        </w:rPr>
      </w:pPr>
    </w:p>
    <w:tbl>
      <w:tblPr>
        <w:tblStyle w:val="a9"/>
        <w:tblW w:w="0" w:type="auto"/>
        <w:tblLayout w:type="fixed"/>
        <w:tblLook w:val="04A0"/>
      </w:tblPr>
      <w:tblGrid>
        <w:gridCol w:w="414"/>
        <w:gridCol w:w="2671"/>
        <w:gridCol w:w="709"/>
        <w:gridCol w:w="850"/>
        <w:gridCol w:w="851"/>
        <w:gridCol w:w="709"/>
        <w:gridCol w:w="850"/>
        <w:gridCol w:w="851"/>
        <w:gridCol w:w="850"/>
        <w:gridCol w:w="816"/>
      </w:tblGrid>
      <w:tr w:rsidR="00172664" w:rsidRPr="00964EF2" w:rsidTr="003E1019">
        <w:trPr>
          <w:trHeight w:val="720"/>
        </w:trPr>
        <w:tc>
          <w:tcPr>
            <w:tcW w:w="414" w:type="dxa"/>
            <w:vAlign w:val="center"/>
          </w:tcPr>
          <w:p w:rsidR="00172664" w:rsidRPr="00FE431D" w:rsidRDefault="00172664" w:rsidP="003E10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val="uk-UA"/>
              </w:rPr>
            </w:pPr>
            <w:r w:rsidRPr="00FE431D">
              <w:rPr>
                <w:b/>
                <w:sz w:val="20"/>
                <w:szCs w:val="20"/>
                <w:lang w:val="uk-UA"/>
              </w:rPr>
              <w:lastRenderedPageBreak/>
              <w:t>№ п/п</w:t>
            </w:r>
          </w:p>
        </w:tc>
        <w:tc>
          <w:tcPr>
            <w:tcW w:w="2671" w:type="dxa"/>
            <w:vAlign w:val="center"/>
          </w:tcPr>
          <w:p w:rsidR="00172664" w:rsidRPr="00FE431D" w:rsidRDefault="00172664" w:rsidP="003E10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val="uk-UA"/>
              </w:rPr>
            </w:pPr>
            <w:r w:rsidRPr="00FE431D">
              <w:rPr>
                <w:b/>
                <w:sz w:val="20"/>
                <w:szCs w:val="20"/>
                <w:lang w:val="uk-UA"/>
              </w:rPr>
              <w:t>Показники результативності</w:t>
            </w:r>
          </w:p>
        </w:tc>
        <w:tc>
          <w:tcPr>
            <w:tcW w:w="709" w:type="dxa"/>
            <w:vAlign w:val="center"/>
          </w:tcPr>
          <w:p w:rsidR="00172664" w:rsidRPr="00FE431D" w:rsidRDefault="00172664" w:rsidP="003E101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E431D">
              <w:rPr>
                <w:b/>
                <w:sz w:val="20"/>
                <w:szCs w:val="20"/>
                <w:lang w:val="uk-UA"/>
              </w:rPr>
              <w:t>2013</w:t>
            </w:r>
          </w:p>
        </w:tc>
        <w:tc>
          <w:tcPr>
            <w:tcW w:w="850" w:type="dxa"/>
            <w:vAlign w:val="center"/>
          </w:tcPr>
          <w:p w:rsidR="00172664" w:rsidRPr="00FE431D" w:rsidRDefault="00172664" w:rsidP="003E101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E431D">
              <w:rPr>
                <w:b/>
                <w:sz w:val="20"/>
                <w:szCs w:val="20"/>
                <w:lang w:val="uk-UA"/>
              </w:rPr>
              <w:t>2014</w:t>
            </w:r>
          </w:p>
        </w:tc>
        <w:tc>
          <w:tcPr>
            <w:tcW w:w="851" w:type="dxa"/>
            <w:vAlign w:val="center"/>
          </w:tcPr>
          <w:p w:rsidR="00172664" w:rsidRPr="00FE431D" w:rsidRDefault="00172664" w:rsidP="003E10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val="uk-UA"/>
              </w:rPr>
            </w:pPr>
            <w:r w:rsidRPr="00FE431D">
              <w:rPr>
                <w:b/>
                <w:sz w:val="20"/>
                <w:szCs w:val="20"/>
                <w:lang w:val="uk-UA"/>
              </w:rPr>
              <w:t>2015</w:t>
            </w:r>
          </w:p>
        </w:tc>
        <w:tc>
          <w:tcPr>
            <w:tcW w:w="709" w:type="dxa"/>
            <w:vAlign w:val="center"/>
          </w:tcPr>
          <w:p w:rsidR="00172664" w:rsidRPr="00FE431D" w:rsidRDefault="00172664" w:rsidP="003E10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val="uk-UA"/>
              </w:rPr>
            </w:pPr>
            <w:r w:rsidRPr="00FE431D">
              <w:rPr>
                <w:b/>
                <w:sz w:val="20"/>
                <w:szCs w:val="20"/>
                <w:lang w:val="uk-UA"/>
              </w:rPr>
              <w:t>2016</w:t>
            </w:r>
          </w:p>
        </w:tc>
        <w:tc>
          <w:tcPr>
            <w:tcW w:w="850" w:type="dxa"/>
            <w:vAlign w:val="center"/>
          </w:tcPr>
          <w:p w:rsidR="00172664" w:rsidRPr="00FE431D" w:rsidRDefault="00172664" w:rsidP="003E10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val="uk-UA"/>
              </w:rPr>
            </w:pPr>
            <w:r w:rsidRPr="00FE431D">
              <w:rPr>
                <w:b/>
                <w:sz w:val="20"/>
                <w:szCs w:val="20"/>
                <w:lang w:val="uk-UA"/>
              </w:rPr>
              <w:t>2017</w:t>
            </w:r>
          </w:p>
        </w:tc>
        <w:tc>
          <w:tcPr>
            <w:tcW w:w="851" w:type="dxa"/>
            <w:vAlign w:val="center"/>
          </w:tcPr>
          <w:p w:rsidR="00172664" w:rsidRPr="00FE431D" w:rsidRDefault="00172664" w:rsidP="003E10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val="uk-UA"/>
              </w:rPr>
            </w:pPr>
            <w:r w:rsidRPr="00FE431D">
              <w:rPr>
                <w:b/>
                <w:sz w:val="20"/>
                <w:szCs w:val="20"/>
                <w:lang w:val="uk-UA"/>
              </w:rPr>
              <w:t>2018</w:t>
            </w:r>
          </w:p>
        </w:tc>
        <w:tc>
          <w:tcPr>
            <w:tcW w:w="850" w:type="dxa"/>
            <w:vAlign w:val="center"/>
          </w:tcPr>
          <w:p w:rsidR="00172664" w:rsidRPr="00FE431D" w:rsidRDefault="00172664" w:rsidP="003E10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val="uk-UA"/>
              </w:rPr>
            </w:pPr>
            <w:r w:rsidRPr="00FE431D">
              <w:rPr>
                <w:b/>
                <w:sz w:val="20"/>
                <w:szCs w:val="20"/>
                <w:lang w:val="uk-UA"/>
              </w:rPr>
              <w:t>2019</w:t>
            </w:r>
          </w:p>
        </w:tc>
        <w:tc>
          <w:tcPr>
            <w:tcW w:w="816" w:type="dxa"/>
            <w:vAlign w:val="center"/>
          </w:tcPr>
          <w:p w:rsidR="00172664" w:rsidRPr="00FE431D" w:rsidRDefault="00172664" w:rsidP="003E10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val="uk-UA"/>
              </w:rPr>
            </w:pPr>
            <w:r w:rsidRPr="00FE431D">
              <w:rPr>
                <w:b/>
                <w:sz w:val="20"/>
                <w:szCs w:val="20"/>
                <w:lang w:val="uk-UA"/>
              </w:rPr>
              <w:t>2020</w:t>
            </w:r>
          </w:p>
        </w:tc>
      </w:tr>
      <w:tr w:rsidR="00172664" w:rsidRPr="00E96E79" w:rsidTr="003E1019">
        <w:tc>
          <w:tcPr>
            <w:tcW w:w="414" w:type="dxa"/>
          </w:tcPr>
          <w:p w:rsidR="00172664" w:rsidRPr="00FE431D" w:rsidRDefault="00172664" w:rsidP="003E10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FE431D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2671" w:type="dxa"/>
          </w:tcPr>
          <w:p w:rsidR="00172664" w:rsidRPr="00FE431D" w:rsidRDefault="00172664" w:rsidP="003E10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FE431D">
              <w:rPr>
                <w:sz w:val="20"/>
                <w:szCs w:val="20"/>
                <w:lang w:val="uk-UA"/>
              </w:rPr>
              <w:t>Кількість укладених договорів із забудовниками</w:t>
            </w:r>
          </w:p>
        </w:tc>
        <w:tc>
          <w:tcPr>
            <w:tcW w:w="709" w:type="dxa"/>
            <w:vAlign w:val="center"/>
          </w:tcPr>
          <w:p w:rsidR="00172664" w:rsidRPr="00FE431D" w:rsidRDefault="00172664" w:rsidP="003E10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FE431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  <w:vAlign w:val="center"/>
          </w:tcPr>
          <w:p w:rsidR="00172664" w:rsidRPr="00FE431D" w:rsidRDefault="00172664" w:rsidP="003E10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FE431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172664" w:rsidRPr="00FE431D" w:rsidRDefault="00172664" w:rsidP="003E10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FE431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172664" w:rsidRPr="00FE431D" w:rsidRDefault="00172664" w:rsidP="003E10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FE431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172664" w:rsidRPr="00FE431D" w:rsidRDefault="00172664" w:rsidP="003E10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FE431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172664" w:rsidRPr="00FE431D" w:rsidRDefault="00172664" w:rsidP="003E10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FE431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  <w:vAlign w:val="center"/>
          </w:tcPr>
          <w:p w:rsidR="00172664" w:rsidRPr="00FE431D" w:rsidRDefault="00172664" w:rsidP="003E10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FE431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16" w:type="dxa"/>
            <w:vAlign w:val="center"/>
          </w:tcPr>
          <w:p w:rsidR="00172664" w:rsidRPr="00FE431D" w:rsidRDefault="00172664" w:rsidP="003E10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FE431D">
              <w:rPr>
                <w:sz w:val="20"/>
                <w:szCs w:val="20"/>
                <w:lang w:val="uk-UA"/>
              </w:rPr>
              <w:t>0</w:t>
            </w:r>
          </w:p>
        </w:tc>
      </w:tr>
      <w:tr w:rsidR="00172664" w:rsidRPr="00E96E79" w:rsidTr="003E1019">
        <w:tc>
          <w:tcPr>
            <w:tcW w:w="414" w:type="dxa"/>
          </w:tcPr>
          <w:p w:rsidR="00172664" w:rsidRPr="00FE431D" w:rsidRDefault="00172664" w:rsidP="003E10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FE431D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2671" w:type="dxa"/>
          </w:tcPr>
          <w:p w:rsidR="00172664" w:rsidRPr="00FE431D" w:rsidRDefault="00172664" w:rsidP="003E10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FE431D">
              <w:rPr>
                <w:sz w:val="20"/>
                <w:szCs w:val="20"/>
                <w:lang w:val="uk-UA"/>
              </w:rPr>
              <w:t>Сума коштів пайової участі, внесеної у розвиток інфраструктури Броварського району, тис. грн.</w:t>
            </w:r>
          </w:p>
        </w:tc>
        <w:tc>
          <w:tcPr>
            <w:tcW w:w="709" w:type="dxa"/>
            <w:vAlign w:val="center"/>
          </w:tcPr>
          <w:p w:rsidR="00172664" w:rsidRPr="00FE431D" w:rsidRDefault="00172664" w:rsidP="003E10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FE431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  <w:vAlign w:val="center"/>
          </w:tcPr>
          <w:p w:rsidR="00172664" w:rsidRPr="00FE431D" w:rsidRDefault="00172664" w:rsidP="003E10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FE431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172664" w:rsidRPr="00FE431D" w:rsidRDefault="00172664" w:rsidP="003E10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FE431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172664" w:rsidRPr="00FE431D" w:rsidRDefault="00172664" w:rsidP="003E10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FE431D">
              <w:rPr>
                <w:sz w:val="20"/>
                <w:szCs w:val="20"/>
                <w:lang w:val="uk-UA"/>
              </w:rPr>
              <w:t>82,2</w:t>
            </w:r>
          </w:p>
        </w:tc>
        <w:tc>
          <w:tcPr>
            <w:tcW w:w="850" w:type="dxa"/>
            <w:vAlign w:val="center"/>
          </w:tcPr>
          <w:p w:rsidR="00172664" w:rsidRPr="00FE431D" w:rsidRDefault="00172664" w:rsidP="003E10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FE431D">
              <w:rPr>
                <w:sz w:val="20"/>
                <w:szCs w:val="20"/>
                <w:lang w:val="uk-UA"/>
              </w:rPr>
              <w:t>2217,3</w:t>
            </w:r>
          </w:p>
        </w:tc>
        <w:tc>
          <w:tcPr>
            <w:tcW w:w="851" w:type="dxa"/>
            <w:vAlign w:val="center"/>
          </w:tcPr>
          <w:p w:rsidR="00172664" w:rsidRPr="00FE431D" w:rsidRDefault="00172664" w:rsidP="003E10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FE431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  <w:vAlign w:val="center"/>
          </w:tcPr>
          <w:p w:rsidR="00172664" w:rsidRPr="00FE431D" w:rsidRDefault="00172664" w:rsidP="003E10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FE431D">
              <w:rPr>
                <w:sz w:val="20"/>
                <w:szCs w:val="20"/>
                <w:lang w:val="uk-UA"/>
              </w:rPr>
              <w:t>84,8</w:t>
            </w:r>
          </w:p>
        </w:tc>
        <w:tc>
          <w:tcPr>
            <w:tcW w:w="816" w:type="dxa"/>
            <w:vAlign w:val="center"/>
          </w:tcPr>
          <w:p w:rsidR="00172664" w:rsidRPr="00FE431D" w:rsidRDefault="00172664" w:rsidP="003E10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FE431D">
              <w:rPr>
                <w:sz w:val="20"/>
                <w:szCs w:val="20"/>
                <w:lang w:val="uk-UA"/>
              </w:rPr>
              <w:t>0</w:t>
            </w:r>
          </w:p>
        </w:tc>
      </w:tr>
    </w:tbl>
    <w:p w:rsidR="00172664" w:rsidRDefault="00172664" w:rsidP="00172664">
      <w:pPr>
        <w:ind w:firstLine="851"/>
        <w:jc w:val="both"/>
      </w:pPr>
    </w:p>
    <w:p w:rsidR="00172664" w:rsidRPr="000F3DE8" w:rsidRDefault="00172664" w:rsidP="00172664">
      <w:pPr>
        <w:ind w:firstLine="709"/>
        <w:jc w:val="both"/>
      </w:pPr>
      <w:r>
        <w:t xml:space="preserve">За результатами </w:t>
      </w:r>
      <w:proofErr w:type="spellStart"/>
      <w:r>
        <w:t>відстеження</w:t>
      </w:r>
      <w:proofErr w:type="spellEnd"/>
      <w:r>
        <w:t xml:space="preserve"> </w:t>
      </w:r>
      <w:proofErr w:type="spellStart"/>
      <w:r>
        <w:t>результативності</w:t>
      </w:r>
      <w:proofErr w:type="spellEnd"/>
      <w:r>
        <w:t xml:space="preserve"> </w:t>
      </w:r>
      <w:proofErr w:type="spellStart"/>
      <w:r>
        <w:t>встановлено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r>
        <w:rPr>
          <w:lang w:val="uk-UA"/>
        </w:rPr>
        <w:t>д</w:t>
      </w:r>
      <w:proofErr w:type="spellStart"/>
      <w:r w:rsidRPr="000F3DE8">
        <w:t>аним</w:t>
      </w:r>
      <w:proofErr w:type="spellEnd"/>
      <w:r w:rsidRPr="000F3DE8">
        <w:t xml:space="preserve"> </w:t>
      </w:r>
      <w:proofErr w:type="spellStart"/>
      <w:r w:rsidRPr="000F3DE8">
        <w:t>регуляторним</w:t>
      </w:r>
      <w:proofErr w:type="spellEnd"/>
      <w:r w:rsidRPr="000F3DE8">
        <w:t xml:space="preserve"> актом </w:t>
      </w:r>
      <w:proofErr w:type="spellStart"/>
      <w:r w:rsidRPr="000F3DE8">
        <w:t>забезпечено</w:t>
      </w:r>
      <w:proofErr w:type="spellEnd"/>
      <w:r w:rsidRPr="000F3DE8">
        <w:t xml:space="preserve"> </w:t>
      </w:r>
      <w:proofErr w:type="spellStart"/>
      <w:r w:rsidRPr="000F3DE8">
        <w:t>збільшення</w:t>
      </w:r>
      <w:proofErr w:type="spellEnd"/>
      <w:r w:rsidRPr="000F3DE8">
        <w:t xml:space="preserve"> </w:t>
      </w:r>
      <w:proofErr w:type="spellStart"/>
      <w:r w:rsidRPr="000F3DE8">
        <w:t>надходжень</w:t>
      </w:r>
      <w:proofErr w:type="spellEnd"/>
      <w:r w:rsidRPr="000F3DE8">
        <w:t xml:space="preserve"> до бюджету району </w:t>
      </w:r>
      <w:r>
        <w:rPr>
          <w:lang w:val="uk-UA"/>
        </w:rPr>
        <w:t>для</w:t>
      </w:r>
      <w:r w:rsidRPr="000F3DE8">
        <w:t xml:space="preserve"> </w:t>
      </w:r>
      <w:proofErr w:type="spellStart"/>
      <w:r w:rsidRPr="000F3DE8">
        <w:t>створення</w:t>
      </w:r>
      <w:proofErr w:type="spellEnd"/>
      <w:r w:rsidRPr="000F3DE8">
        <w:t xml:space="preserve"> </w:t>
      </w:r>
      <w:proofErr w:type="spellStart"/>
      <w:r w:rsidRPr="000F3DE8">
        <w:t>і</w:t>
      </w:r>
      <w:proofErr w:type="spellEnd"/>
      <w:r w:rsidRPr="000F3DE8">
        <w:t xml:space="preserve"> </w:t>
      </w:r>
      <w:proofErr w:type="spellStart"/>
      <w:r w:rsidRPr="000F3DE8">
        <w:t>розвит</w:t>
      </w:r>
      <w:r>
        <w:rPr>
          <w:lang w:val="uk-UA"/>
        </w:rPr>
        <w:t>ку</w:t>
      </w:r>
      <w:proofErr w:type="spellEnd"/>
      <w:r w:rsidRPr="000F3DE8">
        <w:t xml:space="preserve"> </w:t>
      </w:r>
      <w:proofErr w:type="spellStart"/>
      <w:r w:rsidRPr="000F3DE8">
        <w:t>інженерно-транспортної</w:t>
      </w:r>
      <w:proofErr w:type="spellEnd"/>
      <w:r w:rsidRPr="000F3DE8">
        <w:t xml:space="preserve"> та </w:t>
      </w:r>
      <w:proofErr w:type="spellStart"/>
      <w:proofErr w:type="gramStart"/>
      <w:r w:rsidRPr="000F3DE8">
        <w:t>соц</w:t>
      </w:r>
      <w:proofErr w:type="gramEnd"/>
      <w:r w:rsidRPr="000F3DE8">
        <w:t>іальної</w:t>
      </w:r>
      <w:proofErr w:type="spellEnd"/>
      <w:r w:rsidRPr="000F3DE8">
        <w:t xml:space="preserve"> </w:t>
      </w:r>
      <w:proofErr w:type="spellStart"/>
      <w:r w:rsidRPr="000F3DE8">
        <w:t>інфраструктури</w:t>
      </w:r>
      <w:proofErr w:type="spellEnd"/>
      <w:r w:rsidRPr="000F3DE8">
        <w:t xml:space="preserve"> </w:t>
      </w:r>
      <w:proofErr w:type="spellStart"/>
      <w:r w:rsidRPr="000F3DE8">
        <w:t>Броварського</w:t>
      </w:r>
      <w:proofErr w:type="spellEnd"/>
      <w:r w:rsidRPr="000F3DE8">
        <w:t xml:space="preserve"> району.</w:t>
      </w:r>
    </w:p>
    <w:p w:rsidR="00172664" w:rsidRPr="000F3DE8" w:rsidRDefault="00B25224" w:rsidP="00172664">
      <w:pPr>
        <w:ind w:firstLine="709"/>
        <w:jc w:val="both"/>
        <w:rPr>
          <w:lang w:val="uk-UA"/>
        </w:rPr>
      </w:pPr>
      <w:r>
        <w:rPr>
          <w:lang w:val="uk-UA"/>
        </w:rPr>
        <w:t>Р</w:t>
      </w:r>
      <w:proofErr w:type="spellStart"/>
      <w:r w:rsidR="00172664" w:rsidRPr="000F3DE8">
        <w:t>еалізація</w:t>
      </w:r>
      <w:proofErr w:type="spellEnd"/>
      <w:r w:rsidR="00172664" w:rsidRPr="000F3DE8">
        <w:t xml:space="preserve"> регуляторного акта </w:t>
      </w:r>
      <w:proofErr w:type="spellStart"/>
      <w:r w:rsidR="00172664" w:rsidRPr="000F3DE8">
        <w:t>врегулювала</w:t>
      </w:r>
      <w:proofErr w:type="spellEnd"/>
      <w:r w:rsidR="00172664" w:rsidRPr="000F3DE8">
        <w:t xml:space="preserve"> </w:t>
      </w:r>
      <w:proofErr w:type="spellStart"/>
      <w:r w:rsidR="00172664" w:rsidRPr="000F3DE8">
        <w:t>питання</w:t>
      </w:r>
      <w:proofErr w:type="spellEnd"/>
      <w:r w:rsidR="00172664" w:rsidRPr="000F3DE8">
        <w:t xml:space="preserve"> </w:t>
      </w:r>
      <w:proofErr w:type="spellStart"/>
      <w:r w:rsidR="00172664" w:rsidRPr="000F3DE8">
        <w:t>впровадження</w:t>
      </w:r>
      <w:proofErr w:type="spellEnd"/>
      <w:r w:rsidR="00172664" w:rsidRPr="000F3DE8">
        <w:t xml:space="preserve"> порядку </w:t>
      </w:r>
      <w:proofErr w:type="spellStart"/>
      <w:r w:rsidR="00172664" w:rsidRPr="000F3DE8">
        <w:t>залучення</w:t>
      </w:r>
      <w:proofErr w:type="spellEnd"/>
      <w:r w:rsidR="00172664" w:rsidRPr="000F3DE8">
        <w:t xml:space="preserve">, </w:t>
      </w:r>
      <w:proofErr w:type="spellStart"/>
      <w:r w:rsidR="00172664" w:rsidRPr="000F3DE8">
        <w:t>розрахунку</w:t>
      </w:r>
      <w:proofErr w:type="spellEnd"/>
      <w:r w:rsidR="00172664" w:rsidRPr="000F3DE8">
        <w:t xml:space="preserve"> </w:t>
      </w:r>
      <w:proofErr w:type="spellStart"/>
      <w:r w:rsidR="00172664" w:rsidRPr="000F3DE8">
        <w:t>розміру</w:t>
      </w:r>
      <w:proofErr w:type="spellEnd"/>
      <w:r w:rsidR="00172664" w:rsidRPr="000F3DE8">
        <w:t xml:space="preserve"> </w:t>
      </w:r>
      <w:proofErr w:type="spellStart"/>
      <w:r w:rsidR="00172664" w:rsidRPr="000F3DE8">
        <w:t>і</w:t>
      </w:r>
      <w:proofErr w:type="spellEnd"/>
      <w:r w:rsidR="00172664" w:rsidRPr="000F3DE8">
        <w:t xml:space="preserve"> </w:t>
      </w:r>
      <w:proofErr w:type="spellStart"/>
      <w:r w:rsidR="00172664" w:rsidRPr="000F3DE8">
        <w:t>використання</w:t>
      </w:r>
      <w:proofErr w:type="spellEnd"/>
      <w:r w:rsidR="00172664" w:rsidRPr="000F3DE8">
        <w:t xml:space="preserve"> </w:t>
      </w:r>
      <w:proofErr w:type="spellStart"/>
      <w:r w:rsidR="00172664" w:rsidRPr="000F3DE8">
        <w:t>коштів</w:t>
      </w:r>
      <w:proofErr w:type="spellEnd"/>
      <w:r w:rsidR="00172664" w:rsidRPr="000F3DE8">
        <w:t xml:space="preserve"> </w:t>
      </w:r>
      <w:proofErr w:type="spellStart"/>
      <w:r w:rsidR="00172664" w:rsidRPr="000F3DE8">
        <w:t>пайової</w:t>
      </w:r>
      <w:proofErr w:type="spellEnd"/>
      <w:r w:rsidR="00172664" w:rsidRPr="000F3DE8">
        <w:t xml:space="preserve"> </w:t>
      </w:r>
      <w:proofErr w:type="spellStart"/>
      <w:r w:rsidR="00172664" w:rsidRPr="000F3DE8">
        <w:t>участі</w:t>
      </w:r>
      <w:proofErr w:type="spellEnd"/>
      <w:r w:rsidR="00172664" w:rsidRPr="000F3DE8">
        <w:t xml:space="preserve"> </w:t>
      </w:r>
      <w:r w:rsidR="00172664">
        <w:rPr>
          <w:lang w:val="uk-UA"/>
        </w:rPr>
        <w:t xml:space="preserve">замовників будівництва </w:t>
      </w:r>
      <w:r w:rsidR="00172664" w:rsidRPr="000F3DE8">
        <w:t xml:space="preserve">у </w:t>
      </w:r>
      <w:proofErr w:type="spellStart"/>
      <w:r w:rsidR="00172664" w:rsidRPr="000F3DE8">
        <w:t>створенні</w:t>
      </w:r>
      <w:proofErr w:type="spellEnd"/>
      <w:r w:rsidR="00172664" w:rsidRPr="000F3DE8">
        <w:t xml:space="preserve"> </w:t>
      </w:r>
      <w:proofErr w:type="spellStart"/>
      <w:r w:rsidR="00172664" w:rsidRPr="000F3DE8">
        <w:t>і</w:t>
      </w:r>
      <w:proofErr w:type="spellEnd"/>
      <w:r w:rsidR="00172664" w:rsidRPr="000F3DE8">
        <w:t xml:space="preserve"> </w:t>
      </w:r>
      <w:proofErr w:type="spellStart"/>
      <w:r w:rsidR="00172664" w:rsidRPr="000F3DE8">
        <w:t>розвитку</w:t>
      </w:r>
      <w:proofErr w:type="spellEnd"/>
      <w:r w:rsidR="00172664" w:rsidRPr="000F3DE8">
        <w:t xml:space="preserve"> </w:t>
      </w:r>
      <w:proofErr w:type="spellStart"/>
      <w:r w:rsidR="00172664" w:rsidRPr="000F3DE8">
        <w:t>інженерно-транспортної</w:t>
      </w:r>
      <w:proofErr w:type="spellEnd"/>
      <w:r w:rsidR="00172664" w:rsidRPr="000F3DE8">
        <w:t xml:space="preserve"> та </w:t>
      </w:r>
      <w:proofErr w:type="spellStart"/>
      <w:r w:rsidR="00172664" w:rsidRPr="000F3DE8">
        <w:t>соціальної</w:t>
      </w:r>
      <w:proofErr w:type="spellEnd"/>
      <w:r w:rsidR="00172664" w:rsidRPr="000F3DE8">
        <w:t xml:space="preserve"> </w:t>
      </w:r>
      <w:proofErr w:type="spellStart"/>
      <w:r w:rsidR="00172664" w:rsidRPr="000F3DE8">
        <w:t>інфраструктури</w:t>
      </w:r>
      <w:proofErr w:type="spellEnd"/>
      <w:r w:rsidR="00172664" w:rsidRPr="000F3DE8">
        <w:t xml:space="preserve"> </w:t>
      </w:r>
      <w:proofErr w:type="spellStart"/>
      <w:r w:rsidR="00172664" w:rsidRPr="000F3DE8">
        <w:t>Броварського</w:t>
      </w:r>
      <w:proofErr w:type="spellEnd"/>
      <w:r w:rsidR="00172664" w:rsidRPr="000F3DE8">
        <w:t xml:space="preserve"> району. </w:t>
      </w:r>
      <w:proofErr w:type="spellStart"/>
      <w:r w:rsidR="00172664" w:rsidRPr="000F3DE8">
        <w:t>Запроваджений</w:t>
      </w:r>
      <w:proofErr w:type="spellEnd"/>
      <w:r w:rsidR="00172664" w:rsidRPr="000F3DE8">
        <w:t xml:space="preserve"> </w:t>
      </w:r>
      <w:proofErr w:type="spellStart"/>
      <w:r w:rsidR="00172664" w:rsidRPr="000F3DE8">
        <w:t>механізм</w:t>
      </w:r>
      <w:proofErr w:type="spellEnd"/>
      <w:r w:rsidR="00172664" w:rsidRPr="000F3DE8">
        <w:t xml:space="preserve"> </w:t>
      </w:r>
      <w:proofErr w:type="spellStart"/>
      <w:r w:rsidR="00172664" w:rsidRPr="000F3DE8">
        <w:t>дії</w:t>
      </w:r>
      <w:proofErr w:type="spellEnd"/>
      <w:r w:rsidR="00172664" w:rsidRPr="000F3DE8">
        <w:t xml:space="preserve"> </w:t>
      </w:r>
      <w:proofErr w:type="spellStart"/>
      <w:r w:rsidR="00172664" w:rsidRPr="000F3DE8">
        <w:t>даного</w:t>
      </w:r>
      <w:proofErr w:type="spellEnd"/>
      <w:r w:rsidR="00172664" w:rsidRPr="000F3DE8">
        <w:rPr>
          <w:lang w:val="uk-UA"/>
        </w:rPr>
        <w:t xml:space="preserve"> регуляторного акта відповідає принципам державної регуляторної політики, а саме: </w:t>
      </w:r>
      <w:proofErr w:type="gramStart"/>
      <w:r w:rsidR="00172664" w:rsidRPr="000F3DE8">
        <w:rPr>
          <w:lang w:val="uk-UA"/>
        </w:rPr>
        <w:t>доц</w:t>
      </w:r>
      <w:proofErr w:type="gramEnd"/>
      <w:r w:rsidR="00172664" w:rsidRPr="000F3DE8">
        <w:rPr>
          <w:lang w:val="uk-UA"/>
        </w:rPr>
        <w:t xml:space="preserve">ільності, адекватності, ефективності, прозорості, передбачуваності. </w:t>
      </w:r>
    </w:p>
    <w:p w:rsidR="00172664" w:rsidRDefault="00172664" w:rsidP="00172664">
      <w:pPr>
        <w:ind w:firstLine="709"/>
        <w:jc w:val="both"/>
        <w:rPr>
          <w:lang w:val="uk-UA"/>
        </w:rPr>
      </w:pPr>
      <w:r>
        <w:rPr>
          <w:lang w:val="uk-UA"/>
        </w:rPr>
        <w:t>Регуляторний акт не потребує змін чи доповнень.</w:t>
      </w:r>
    </w:p>
    <w:p w:rsidR="00172664" w:rsidRDefault="00172664" w:rsidP="00172664">
      <w:pPr>
        <w:ind w:firstLine="851"/>
        <w:jc w:val="both"/>
        <w:rPr>
          <w:lang w:val="uk-UA"/>
        </w:rPr>
      </w:pPr>
    </w:p>
    <w:p w:rsidR="00172664" w:rsidRPr="00741B53" w:rsidRDefault="00172664" w:rsidP="00FE431D">
      <w:pPr>
        <w:ind w:firstLine="709"/>
        <w:jc w:val="both"/>
        <w:rPr>
          <w:lang w:val="uk-UA"/>
        </w:rPr>
      </w:pPr>
      <w:r w:rsidRPr="00FE431D">
        <w:rPr>
          <w:b/>
          <w:lang w:val="uk-UA"/>
        </w:rPr>
        <w:t>2.</w:t>
      </w:r>
      <w:r w:rsidRPr="00172664">
        <w:rPr>
          <w:lang w:val="uk-UA"/>
        </w:rPr>
        <w:t xml:space="preserve"> </w:t>
      </w:r>
      <w:r w:rsidRPr="00741B53">
        <w:rPr>
          <w:lang w:val="uk-UA"/>
        </w:rPr>
        <w:t>Рішення Броварської районної ради від 03 грудня 2009 № 442-32-</w:t>
      </w:r>
      <w:r w:rsidRPr="00741B53">
        <w:rPr>
          <w:lang w:val="en-US"/>
        </w:rPr>
        <w:t>V</w:t>
      </w:r>
      <w:r w:rsidRPr="00741B53">
        <w:rPr>
          <w:lang w:val="uk-UA"/>
        </w:rPr>
        <w:t xml:space="preserve"> «Про затвердження типових додаткових угод до договору оренди майна, що перебуває у спільній сумісній власності територіальної громади міста Бровари Київської області та територіальних громад сіл та селищ Броварського району».</w:t>
      </w:r>
    </w:p>
    <w:p w:rsidR="00172664" w:rsidRDefault="00172664" w:rsidP="00FE431D">
      <w:pPr>
        <w:ind w:firstLine="709"/>
        <w:jc w:val="both"/>
        <w:rPr>
          <w:lang w:val="uk-UA"/>
        </w:rPr>
      </w:pPr>
      <w:r w:rsidRPr="00686AFF">
        <w:rPr>
          <w:lang w:val="uk-UA"/>
        </w:rPr>
        <w:t>Відстеження результативності регуляторно</w:t>
      </w:r>
      <w:r>
        <w:rPr>
          <w:lang w:val="uk-UA"/>
        </w:rPr>
        <w:t>го акта проводилось на підставі даних Комунального некомерційного підприємства «Броварська багатопрофільна клінічна лікарня» Броварської районної ради Київської області та Броварської міської ради Київської області щодо: фактичної кількості укладених та переукладених договорів оренди, укладених додаткових угод на внесення змін та на продовження терміну дії договорів оренди,</w:t>
      </w:r>
      <w:r w:rsidRPr="00496265">
        <w:rPr>
          <w:lang w:val="uk-UA"/>
        </w:rPr>
        <w:t xml:space="preserve"> </w:t>
      </w:r>
      <w:r>
        <w:rPr>
          <w:lang w:val="uk-UA"/>
        </w:rPr>
        <w:t xml:space="preserve">а також даних щодо нарахованих сум орендної плати та сум отриманої орендної плати.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701"/>
        <w:gridCol w:w="709"/>
        <w:gridCol w:w="709"/>
        <w:gridCol w:w="708"/>
        <w:gridCol w:w="709"/>
        <w:gridCol w:w="567"/>
        <w:gridCol w:w="709"/>
        <w:gridCol w:w="567"/>
        <w:gridCol w:w="709"/>
        <w:gridCol w:w="567"/>
        <w:gridCol w:w="708"/>
        <w:gridCol w:w="567"/>
      </w:tblGrid>
      <w:tr w:rsidR="00172664" w:rsidRPr="00601654" w:rsidTr="003E1019">
        <w:tc>
          <w:tcPr>
            <w:tcW w:w="817" w:type="dxa"/>
            <w:vAlign w:val="center"/>
          </w:tcPr>
          <w:p w:rsidR="00172664" w:rsidRPr="00B5310A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172664" w:rsidRPr="00B5310A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72664" w:rsidRPr="00601654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2015</w:t>
            </w:r>
          </w:p>
        </w:tc>
        <w:tc>
          <w:tcPr>
            <w:tcW w:w="1417" w:type="dxa"/>
            <w:gridSpan w:val="2"/>
            <w:vAlign w:val="center"/>
          </w:tcPr>
          <w:p w:rsidR="00172664" w:rsidRPr="00601654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2016</w:t>
            </w:r>
          </w:p>
        </w:tc>
        <w:tc>
          <w:tcPr>
            <w:tcW w:w="1276" w:type="dxa"/>
            <w:gridSpan w:val="2"/>
            <w:vAlign w:val="center"/>
          </w:tcPr>
          <w:p w:rsidR="00172664" w:rsidRPr="00601654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2017</w:t>
            </w:r>
          </w:p>
        </w:tc>
        <w:tc>
          <w:tcPr>
            <w:tcW w:w="1276" w:type="dxa"/>
            <w:gridSpan w:val="2"/>
            <w:vAlign w:val="center"/>
          </w:tcPr>
          <w:p w:rsidR="00172664" w:rsidRPr="00601654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2018</w:t>
            </w:r>
          </w:p>
        </w:tc>
        <w:tc>
          <w:tcPr>
            <w:tcW w:w="1275" w:type="dxa"/>
            <w:gridSpan w:val="2"/>
            <w:vAlign w:val="center"/>
          </w:tcPr>
          <w:p w:rsidR="00172664" w:rsidRPr="00601654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2019</w:t>
            </w:r>
          </w:p>
        </w:tc>
        <w:tc>
          <w:tcPr>
            <w:tcW w:w="567" w:type="dxa"/>
            <w:vAlign w:val="center"/>
          </w:tcPr>
          <w:p w:rsidR="00172664" w:rsidRPr="00601654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2020</w:t>
            </w:r>
          </w:p>
        </w:tc>
      </w:tr>
      <w:tr w:rsidR="00172664" w:rsidRPr="00F0006F" w:rsidTr="003E1019">
        <w:tc>
          <w:tcPr>
            <w:tcW w:w="817" w:type="dxa"/>
            <w:vAlign w:val="center"/>
          </w:tcPr>
          <w:p w:rsidR="00172664" w:rsidRPr="00F0006F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172664" w:rsidRPr="00F0006F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Показники</w:t>
            </w:r>
            <w:proofErr w:type="spellEnd"/>
          </w:p>
          <w:p w:rsidR="00172664" w:rsidRPr="00F0006F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результативності</w:t>
            </w:r>
            <w:proofErr w:type="spellEnd"/>
          </w:p>
        </w:tc>
        <w:tc>
          <w:tcPr>
            <w:tcW w:w="709" w:type="dxa"/>
            <w:vAlign w:val="center"/>
          </w:tcPr>
          <w:p w:rsidR="00172664" w:rsidRPr="00F0006F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І </w:t>
            </w:r>
            <w:proofErr w:type="spellStart"/>
            <w:proofErr w:type="gram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івріччя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172664" w:rsidRPr="00601654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708" w:type="dxa"/>
            <w:vAlign w:val="center"/>
          </w:tcPr>
          <w:p w:rsidR="00172664" w:rsidRPr="00F0006F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І </w:t>
            </w:r>
            <w:proofErr w:type="spellStart"/>
            <w:proofErr w:type="gram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івріччя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172664" w:rsidRPr="00601654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567" w:type="dxa"/>
            <w:vAlign w:val="center"/>
          </w:tcPr>
          <w:p w:rsidR="00172664" w:rsidRPr="00F0006F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І </w:t>
            </w:r>
            <w:proofErr w:type="spellStart"/>
            <w:proofErr w:type="gram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івріччя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172664" w:rsidRPr="00601654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567" w:type="dxa"/>
            <w:vAlign w:val="center"/>
          </w:tcPr>
          <w:p w:rsidR="00172664" w:rsidRPr="00F0006F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І </w:t>
            </w:r>
            <w:proofErr w:type="spellStart"/>
            <w:proofErr w:type="gram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івріччя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172664" w:rsidRPr="00601654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567" w:type="dxa"/>
            <w:vAlign w:val="center"/>
          </w:tcPr>
          <w:p w:rsidR="00172664" w:rsidRPr="00F0006F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І </w:t>
            </w:r>
            <w:proofErr w:type="spellStart"/>
            <w:proofErr w:type="gram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івріччя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172664" w:rsidRPr="00601654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567" w:type="dxa"/>
            <w:vAlign w:val="center"/>
          </w:tcPr>
          <w:p w:rsidR="00172664" w:rsidRPr="00F0006F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І </w:t>
            </w:r>
            <w:proofErr w:type="spellStart"/>
            <w:proofErr w:type="gram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івріччя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72664" w:rsidRPr="00EB7B1C" w:rsidTr="003E1019">
        <w:tc>
          <w:tcPr>
            <w:tcW w:w="817" w:type="dxa"/>
            <w:vAlign w:val="center"/>
          </w:tcPr>
          <w:p w:rsidR="00172664" w:rsidRPr="00F0006F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172664" w:rsidRPr="00F0006F" w:rsidRDefault="00172664" w:rsidP="003E1019">
            <w:pPr>
              <w:pStyle w:val="ab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Укладено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переукладено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договорів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709" w:type="dxa"/>
            <w:vAlign w:val="center"/>
          </w:tcPr>
          <w:p w:rsidR="00172664" w:rsidRPr="00EB7B1C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172664" w:rsidRPr="003D34BC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8" w:type="dxa"/>
            <w:vAlign w:val="center"/>
          </w:tcPr>
          <w:p w:rsidR="00172664" w:rsidRPr="00EB7B1C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172664" w:rsidRPr="003D34BC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172664" w:rsidRPr="00EB7B1C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172664" w:rsidRPr="003D34BC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172664" w:rsidRPr="00EB7B1C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172664" w:rsidRPr="003D34BC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172664" w:rsidRPr="00EB7B1C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vAlign w:val="center"/>
          </w:tcPr>
          <w:p w:rsidR="00172664" w:rsidRPr="003D34BC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172664" w:rsidRPr="00EB7B1C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</w:tr>
      <w:tr w:rsidR="00172664" w:rsidRPr="00EB7B1C" w:rsidTr="003E1019">
        <w:tc>
          <w:tcPr>
            <w:tcW w:w="817" w:type="dxa"/>
            <w:vAlign w:val="center"/>
          </w:tcPr>
          <w:p w:rsidR="00172664" w:rsidRPr="00F0006F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172664" w:rsidRPr="00F0006F" w:rsidRDefault="00172664" w:rsidP="003E1019">
            <w:pPr>
              <w:pStyle w:val="ab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Укладено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додаткових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угод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gram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тому </w:t>
            </w: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числі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172664" w:rsidRPr="00EB7B1C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172664" w:rsidRPr="003D34BC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708" w:type="dxa"/>
            <w:vAlign w:val="center"/>
          </w:tcPr>
          <w:p w:rsidR="00172664" w:rsidRPr="00EB7B1C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172664" w:rsidRPr="003D34BC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172664" w:rsidRPr="00EB7B1C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172664" w:rsidRPr="003D34BC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  <w:vAlign w:val="center"/>
          </w:tcPr>
          <w:p w:rsidR="00172664" w:rsidRPr="00EB7B1C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172664" w:rsidRPr="003D34BC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172664" w:rsidRPr="00EB7B1C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08" w:type="dxa"/>
            <w:vAlign w:val="center"/>
          </w:tcPr>
          <w:p w:rsidR="00172664" w:rsidRPr="003D34BC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  <w:vAlign w:val="center"/>
          </w:tcPr>
          <w:p w:rsidR="00172664" w:rsidRPr="00EB7B1C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172664" w:rsidRPr="00EB7B1C" w:rsidTr="003E1019">
        <w:tc>
          <w:tcPr>
            <w:tcW w:w="817" w:type="dxa"/>
            <w:vAlign w:val="center"/>
          </w:tcPr>
          <w:p w:rsidR="00172664" w:rsidRPr="00F0006F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2.1.</w:t>
            </w:r>
          </w:p>
        </w:tc>
        <w:tc>
          <w:tcPr>
            <w:tcW w:w="1701" w:type="dxa"/>
          </w:tcPr>
          <w:p w:rsidR="00172664" w:rsidRPr="00F0006F" w:rsidRDefault="00172664" w:rsidP="003E1019">
            <w:pPr>
              <w:pStyle w:val="ab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продовжено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договорів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709" w:type="dxa"/>
            <w:vAlign w:val="center"/>
          </w:tcPr>
          <w:p w:rsidR="00172664" w:rsidRPr="00EB7B1C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172664" w:rsidRPr="003D34BC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708" w:type="dxa"/>
            <w:vAlign w:val="center"/>
          </w:tcPr>
          <w:p w:rsidR="00172664" w:rsidRPr="00EB7B1C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172664" w:rsidRPr="003D34BC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172664" w:rsidRPr="00EB7B1C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172664" w:rsidRPr="003D34BC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172664" w:rsidRPr="00EB7B1C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172664" w:rsidRPr="003D34BC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172664" w:rsidRPr="00EB7B1C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08" w:type="dxa"/>
            <w:vAlign w:val="center"/>
          </w:tcPr>
          <w:p w:rsidR="00172664" w:rsidRPr="003D34BC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  <w:vAlign w:val="center"/>
          </w:tcPr>
          <w:p w:rsidR="00172664" w:rsidRPr="00EB7B1C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172664" w:rsidRPr="003D13DF" w:rsidTr="003E1019">
        <w:tc>
          <w:tcPr>
            <w:tcW w:w="817" w:type="dxa"/>
            <w:vAlign w:val="center"/>
          </w:tcPr>
          <w:p w:rsidR="00172664" w:rsidRPr="00F0006F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3</w:t>
            </w:r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172664" w:rsidRPr="00F0006F" w:rsidRDefault="00172664" w:rsidP="003E1019">
            <w:pPr>
              <w:pStyle w:val="ab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Нараховано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орендної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плати </w:t>
            </w: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ПДВ (тис</w:t>
            </w:r>
            <w:proofErr w:type="gram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рн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709" w:type="dxa"/>
            <w:vAlign w:val="center"/>
          </w:tcPr>
          <w:p w:rsidR="00172664" w:rsidRPr="003D13DF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499,308</w:t>
            </w:r>
          </w:p>
        </w:tc>
        <w:tc>
          <w:tcPr>
            <w:tcW w:w="709" w:type="dxa"/>
            <w:vAlign w:val="center"/>
          </w:tcPr>
          <w:p w:rsidR="00172664" w:rsidRPr="003D13DF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1056,451</w:t>
            </w:r>
          </w:p>
        </w:tc>
        <w:tc>
          <w:tcPr>
            <w:tcW w:w="708" w:type="dxa"/>
            <w:vAlign w:val="center"/>
          </w:tcPr>
          <w:p w:rsidR="00172664" w:rsidRPr="003D13DF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592,300</w:t>
            </w:r>
          </w:p>
        </w:tc>
        <w:tc>
          <w:tcPr>
            <w:tcW w:w="709" w:type="dxa"/>
            <w:vAlign w:val="center"/>
          </w:tcPr>
          <w:p w:rsidR="00172664" w:rsidRPr="003D13DF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1148,899</w:t>
            </w:r>
          </w:p>
        </w:tc>
        <w:tc>
          <w:tcPr>
            <w:tcW w:w="567" w:type="dxa"/>
            <w:vAlign w:val="center"/>
          </w:tcPr>
          <w:p w:rsidR="00172664" w:rsidRPr="003D13DF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655,400</w:t>
            </w:r>
          </w:p>
        </w:tc>
        <w:tc>
          <w:tcPr>
            <w:tcW w:w="709" w:type="dxa"/>
            <w:vAlign w:val="center"/>
          </w:tcPr>
          <w:p w:rsidR="00172664" w:rsidRPr="003D13DF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1348,257</w:t>
            </w:r>
          </w:p>
        </w:tc>
        <w:tc>
          <w:tcPr>
            <w:tcW w:w="567" w:type="dxa"/>
            <w:vAlign w:val="center"/>
          </w:tcPr>
          <w:p w:rsidR="00172664" w:rsidRPr="003D13DF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629,300</w:t>
            </w:r>
          </w:p>
        </w:tc>
        <w:tc>
          <w:tcPr>
            <w:tcW w:w="709" w:type="dxa"/>
            <w:vAlign w:val="center"/>
          </w:tcPr>
          <w:p w:rsidR="00172664" w:rsidRPr="003D13DF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1261,632</w:t>
            </w:r>
          </w:p>
        </w:tc>
        <w:tc>
          <w:tcPr>
            <w:tcW w:w="567" w:type="dxa"/>
            <w:vAlign w:val="center"/>
          </w:tcPr>
          <w:p w:rsidR="00172664" w:rsidRPr="003D13DF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637,800</w:t>
            </w:r>
          </w:p>
        </w:tc>
        <w:tc>
          <w:tcPr>
            <w:tcW w:w="708" w:type="dxa"/>
            <w:vAlign w:val="center"/>
          </w:tcPr>
          <w:p w:rsidR="00172664" w:rsidRPr="003D13DF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1342,690</w:t>
            </w:r>
          </w:p>
        </w:tc>
        <w:tc>
          <w:tcPr>
            <w:tcW w:w="567" w:type="dxa"/>
            <w:vAlign w:val="center"/>
          </w:tcPr>
          <w:p w:rsidR="00172664" w:rsidRPr="003D13DF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632,000</w:t>
            </w:r>
          </w:p>
        </w:tc>
      </w:tr>
      <w:tr w:rsidR="00172664" w:rsidRPr="003D13DF" w:rsidTr="003E1019">
        <w:tc>
          <w:tcPr>
            <w:tcW w:w="817" w:type="dxa"/>
            <w:vAlign w:val="center"/>
          </w:tcPr>
          <w:p w:rsidR="00172664" w:rsidRPr="00F0006F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172664" w:rsidRPr="00F0006F" w:rsidRDefault="00172664" w:rsidP="003E1019">
            <w:pPr>
              <w:pStyle w:val="ab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Отримано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орендної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плати </w:t>
            </w: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ПДВ (тис</w:t>
            </w:r>
            <w:proofErr w:type="gram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рн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709" w:type="dxa"/>
            <w:vAlign w:val="center"/>
          </w:tcPr>
          <w:p w:rsidR="00172664" w:rsidRPr="003D13DF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492,841</w:t>
            </w:r>
          </w:p>
        </w:tc>
        <w:tc>
          <w:tcPr>
            <w:tcW w:w="709" w:type="dxa"/>
            <w:vAlign w:val="center"/>
          </w:tcPr>
          <w:p w:rsidR="00172664" w:rsidRPr="003D13DF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1000,595</w:t>
            </w:r>
          </w:p>
        </w:tc>
        <w:tc>
          <w:tcPr>
            <w:tcW w:w="708" w:type="dxa"/>
            <w:vAlign w:val="center"/>
          </w:tcPr>
          <w:p w:rsidR="00172664" w:rsidRPr="003D13DF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590,000</w:t>
            </w:r>
          </w:p>
        </w:tc>
        <w:tc>
          <w:tcPr>
            <w:tcW w:w="709" w:type="dxa"/>
            <w:vAlign w:val="center"/>
          </w:tcPr>
          <w:p w:rsidR="00172664" w:rsidRPr="003D13DF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1148,895</w:t>
            </w:r>
          </w:p>
        </w:tc>
        <w:tc>
          <w:tcPr>
            <w:tcW w:w="567" w:type="dxa"/>
            <w:vAlign w:val="center"/>
          </w:tcPr>
          <w:p w:rsidR="00172664" w:rsidRPr="003D13DF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655,000</w:t>
            </w:r>
          </w:p>
        </w:tc>
        <w:tc>
          <w:tcPr>
            <w:tcW w:w="709" w:type="dxa"/>
            <w:vAlign w:val="center"/>
          </w:tcPr>
          <w:p w:rsidR="00172664" w:rsidRPr="003D13DF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1348,257</w:t>
            </w:r>
          </w:p>
        </w:tc>
        <w:tc>
          <w:tcPr>
            <w:tcW w:w="567" w:type="dxa"/>
            <w:vAlign w:val="center"/>
          </w:tcPr>
          <w:p w:rsidR="00172664" w:rsidRPr="003D13DF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626,400</w:t>
            </w:r>
          </w:p>
        </w:tc>
        <w:tc>
          <w:tcPr>
            <w:tcW w:w="709" w:type="dxa"/>
            <w:vAlign w:val="center"/>
          </w:tcPr>
          <w:p w:rsidR="00172664" w:rsidRPr="003D13DF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1242,057</w:t>
            </w:r>
          </w:p>
        </w:tc>
        <w:tc>
          <w:tcPr>
            <w:tcW w:w="567" w:type="dxa"/>
            <w:vAlign w:val="center"/>
          </w:tcPr>
          <w:p w:rsidR="00172664" w:rsidRPr="003D13DF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605,000</w:t>
            </w:r>
          </w:p>
        </w:tc>
        <w:tc>
          <w:tcPr>
            <w:tcW w:w="708" w:type="dxa"/>
            <w:vAlign w:val="center"/>
          </w:tcPr>
          <w:p w:rsidR="00172664" w:rsidRPr="003D13DF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1323,117</w:t>
            </w:r>
          </w:p>
        </w:tc>
        <w:tc>
          <w:tcPr>
            <w:tcW w:w="567" w:type="dxa"/>
            <w:vAlign w:val="center"/>
          </w:tcPr>
          <w:p w:rsidR="00172664" w:rsidRPr="003D13DF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590,000</w:t>
            </w:r>
          </w:p>
        </w:tc>
      </w:tr>
    </w:tbl>
    <w:p w:rsidR="00172664" w:rsidRDefault="00172664" w:rsidP="00172664">
      <w:pPr>
        <w:ind w:firstLine="851"/>
        <w:jc w:val="both"/>
        <w:rPr>
          <w:lang w:val="uk-UA"/>
        </w:rPr>
      </w:pPr>
    </w:p>
    <w:p w:rsidR="00172664" w:rsidRPr="000F3DE8" w:rsidRDefault="00172664" w:rsidP="00172664">
      <w:pPr>
        <w:ind w:firstLine="709"/>
        <w:jc w:val="both"/>
        <w:rPr>
          <w:lang w:val="uk-UA"/>
        </w:rPr>
      </w:pPr>
      <w:r w:rsidRPr="00172664">
        <w:rPr>
          <w:lang w:val="uk-UA"/>
        </w:rPr>
        <w:t xml:space="preserve">За результатами відстеження результативності встановлено, що </w:t>
      </w:r>
      <w:r>
        <w:rPr>
          <w:lang w:val="uk-UA"/>
        </w:rPr>
        <w:t>д</w:t>
      </w:r>
      <w:r w:rsidRPr="00172664">
        <w:rPr>
          <w:lang w:val="uk-UA"/>
        </w:rPr>
        <w:t>ани</w:t>
      </w:r>
      <w:r w:rsidR="007B699B">
        <w:rPr>
          <w:lang w:val="uk-UA"/>
        </w:rPr>
        <w:t>й</w:t>
      </w:r>
      <w:r w:rsidRPr="00172664">
        <w:rPr>
          <w:lang w:val="uk-UA"/>
        </w:rPr>
        <w:t xml:space="preserve"> регуляторни</w:t>
      </w:r>
      <w:r w:rsidR="007B699B">
        <w:rPr>
          <w:lang w:val="uk-UA"/>
        </w:rPr>
        <w:t>й</w:t>
      </w:r>
      <w:r w:rsidRPr="00172664">
        <w:rPr>
          <w:lang w:val="uk-UA"/>
        </w:rPr>
        <w:t xml:space="preserve"> акт</w:t>
      </w:r>
      <w:r>
        <w:rPr>
          <w:lang w:val="uk-UA"/>
        </w:rPr>
        <w:t xml:space="preserve"> має високий ступінь досягнення визначених цілей, його впровадження створило можливість Броварській районній раді більш ефективно контролювати надання в оренду комунального майна, що перебуває </w:t>
      </w:r>
      <w:r w:rsidRPr="00741B53">
        <w:rPr>
          <w:lang w:val="uk-UA"/>
        </w:rPr>
        <w:t>у спільній сумісній власності територіальної громади міста Бровари Київської області та територіальних громад сіл та селищ Броварського району</w:t>
      </w:r>
      <w:r>
        <w:rPr>
          <w:lang w:val="uk-UA"/>
        </w:rPr>
        <w:t xml:space="preserve">, збільшити надходження коштів від оренди, задовольнити потреби </w:t>
      </w:r>
      <w:proofErr w:type="spellStart"/>
      <w:r>
        <w:rPr>
          <w:lang w:val="uk-UA"/>
        </w:rPr>
        <w:t>балансоутримувачів</w:t>
      </w:r>
      <w:proofErr w:type="spellEnd"/>
      <w:r>
        <w:rPr>
          <w:lang w:val="uk-UA"/>
        </w:rPr>
        <w:t xml:space="preserve"> з метою покриття видатків, пов’язаних з підтриманням комунального майна у належному стані.</w:t>
      </w:r>
      <w:r w:rsidRPr="00F0006F">
        <w:rPr>
          <w:lang w:val="uk-UA"/>
        </w:rPr>
        <w:t xml:space="preserve"> </w:t>
      </w:r>
    </w:p>
    <w:p w:rsidR="00172664" w:rsidRDefault="00172664" w:rsidP="00172664">
      <w:pPr>
        <w:ind w:firstLine="709"/>
        <w:jc w:val="both"/>
        <w:rPr>
          <w:lang w:val="uk-UA"/>
        </w:rPr>
      </w:pPr>
      <w:r>
        <w:rPr>
          <w:lang w:val="uk-UA"/>
        </w:rPr>
        <w:t>Даний регуляторний акт не потребує змін чи доповнень.</w:t>
      </w:r>
    </w:p>
    <w:p w:rsidR="00172664" w:rsidRDefault="00172664" w:rsidP="00172664">
      <w:pPr>
        <w:ind w:firstLine="851"/>
        <w:jc w:val="both"/>
        <w:rPr>
          <w:lang w:val="uk-UA"/>
        </w:rPr>
      </w:pPr>
    </w:p>
    <w:p w:rsidR="00172664" w:rsidRPr="00C045A1" w:rsidRDefault="00172664" w:rsidP="00FE431D">
      <w:pPr>
        <w:ind w:firstLine="709"/>
        <w:jc w:val="both"/>
        <w:rPr>
          <w:lang w:val="uk-UA"/>
        </w:rPr>
      </w:pPr>
      <w:r w:rsidRPr="00FE431D">
        <w:rPr>
          <w:b/>
          <w:lang w:val="uk-UA"/>
        </w:rPr>
        <w:t>3.</w:t>
      </w:r>
      <w:r w:rsidRPr="00172664">
        <w:rPr>
          <w:lang w:val="uk-UA"/>
        </w:rPr>
        <w:t xml:space="preserve"> </w:t>
      </w:r>
      <w:r w:rsidRPr="00C045A1">
        <w:rPr>
          <w:lang w:val="uk-UA"/>
        </w:rPr>
        <w:t>Рішення Броварської районної ради від 03 грудня 2009 № 443-32-</w:t>
      </w:r>
      <w:r w:rsidRPr="00C045A1">
        <w:rPr>
          <w:lang w:val="en-US"/>
        </w:rPr>
        <w:t>V</w:t>
      </w:r>
      <w:r w:rsidRPr="00C045A1">
        <w:rPr>
          <w:lang w:val="uk-UA"/>
        </w:rPr>
        <w:t xml:space="preserve"> «</w:t>
      </w:r>
      <w:r w:rsidRPr="00C045A1">
        <w:rPr>
          <w:rFonts w:eastAsia="Calibri"/>
          <w:lang w:val="uk-UA"/>
        </w:rPr>
        <w:t>Про затвердження типового договору оренди майна, що перебуває у спільній сумісній власності територіальної громади міста Бровари Київської області та територіальних громад с</w:t>
      </w:r>
      <w:r w:rsidRPr="00C045A1">
        <w:rPr>
          <w:lang w:val="uk-UA"/>
        </w:rPr>
        <w:t>іл та селищ Броварського району».</w:t>
      </w:r>
    </w:p>
    <w:p w:rsidR="00172664" w:rsidRPr="002D6C43" w:rsidRDefault="00172664" w:rsidP="00FE431D">
      <w:pPr>
        <w:ind w:firstLine="709"/>
        <w:jc w:val="both"/>
        <w:rPr>
          <w:lang w:val="uk-UA"/>
        </w:rPr>
      </w:pPr>
      <w:r w:rsidRPr="002D6C43">
        <w:rPr>
          <w:lang w:val="uk-UA"/>
        </w:rPr>
        <w:t>Відстеження результативності регуляторного акта проводилось на підставі даних Комунального некомерційного підприємства «Броварська багатопрофільна клінічна лікарня» Броварської районної ради Київської області та Броварської міської ради Київської області щодо: фактичної кількості укладених та переукладених договорів оренди, укладених додаткових угод на внесення змін та на продовження терміну дії договорів оренди, кільк</w:t>
      </w:r>
      <w:r>
        <w:rPr>
          <w:lang w:val="uk-UA"/>
        </w:rPr>
        <w:t>ості</w:t>
      </w:r>
      <w:r w:rsidRPr="002D6C43">
        <w:rPr>
          <w:lang w:val="uk-UA"/>
        </w:rPr>
        <w:t xml:space="preserve"> діючих протягом звітного періоду договорів по яким нараховувалась орендна плата, а також даних щодо нарахованих сум орендної плати та сум отриманої орендної плати.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985"/>
        <w:gridCol w:w="567"/>
        <w:gridCol w:w="708"/>
        <w:gridCol w:w="567"/>
        <w:gridCol w:w="709"/>
        <w:gridCol w:w="567"/>
        <w:gridCol w:w="709"/>
        <w:gridCol w:w="567"/>
        <w:gridCol w:w="709"/>
        <w:gridCol w:w="567"/>
        <w:gridCol w:w="708"/>
        <w:gridCol w:w="567"/>
      </w:tblGrid>
      <w:tr w:rsidR="00172664" w:rsidRPr="00601654" w:rsidTr="003E1019">
        <w:tc>
          <w:tcPr>
            <w:tcW w:w="817" w:type="dxa"/>
            <w:vAlign w:val="center"/>
          </w:tcPr>
          <w:p w:rsidR="00172664" w:rsidRPr="00B5310A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172664" w:rsidRPr="00B5310A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72664" w:rsidRPr="00601654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2015</w:t>
            </w:r>
          </w:p>
        </w:tc>
        <w:tc>
          <w:tcPr>
            <w:tcW w:w="1276" w:type="dxa"/>
            <w:gridSpan w:val="2"/>
            <w:vAlign w:val="center"/>
          </w:tcPr>
          <w:p w:rsidR="00172664" w:rsidRPr="00601654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2016</w:t>
            </w:r>
          </w:p>
        </w:tc>
        <w:tc>
          <w:tcPr>
            <w:tcW w:w="1276" w:type="dxa"/>
            <w:gridSpan w:val="2"/>
            <w:vAlign w:val="center"/>
          </w:tcPr>
          <w:p w:rsidR="00172664" w:rsidRPr="00601654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2017</w:t>
            </w:r>
          </w:p>
        </w:tc>
        <w:tc>
          <w:tcPr>
            <w:tcW w:w="1276" w:type="dxa"/>
            <w:gridSpan w:val="2"/>
            <w:vAlign w:val="center"/>
          </w:tcPr>
          <w:p w:rsidR="00172664" w:rsidRPr="00601654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2018</w:t>
            </w:r>
          </w:p>
        </w:tc>
        <w:tc>
          <w:tcPr>
            <w:tcW w:w="1275" w:type="dxa"/>
            <w:gridSpan w:val="2"/>
            <w:vAlign w:val="center"/>
          </w:tcPr>
          <w:p w:rsidR="00172664" w:rsidRPr="00601654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2019</w:t>
            </w:r>
          </w:p>
        </w:tc>
        <w:tc>
          <w:tcPr>
            <w:tcW w:w="567" w:type="dxa"/>
            <w:vAlign w:val="center"/>
          </w:tcPr>
          <w:p w:rsidR="00172664" w:rsidRPr="00601654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2020</w:t>
            </w:r>
          </w:p>
        </w:tc>
      </w:tr>
      <w:tr w:rsidR="00172664" w:rsidRPr="00F0006F" w:rsidTr="003E1019">
        <w:tc>
          <w:tcPr>
            <w:tcW w:w="817" w:type="dxa"/>
            <w:vAlign w:val="center"/>
          </w:tcPr>
          <w:p w:rsidR="00172664" w:rsidRPr="00F0006F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:rsidR="00172664" w:rsidRPr="00F0006F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Показники</w:t>
            </w:r>
            <w:proofErr w:type="spellEnd"/>
          </w:p>
          <w:p w:rsidR="00172664" w:rsidRPr="00F0006F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результативності</w:t>
            </w:r>
            <w:proofErr w:type="spellEnd"/>
          </w:p>
        </w:tc>
        <w:tc>
          <w:tcPr>
            <w:tcW w:w="567" w:type="dxa"/>
            <w:vAlign w:val="center"/>
          </w:tcPr>
          <w:p w:rsidR="00172664" w:rsidRPr="00F0006F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І </w:t>
            </w:r>
            <w:proofErr w:type="spellStart"/>
            <w:proofErr w:type="gram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івріччя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172664" w:rsidRPr="00601654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567" w:type="dxa"/>
            <w:vAlign w:val="center"/>
          </w:tcPr>
          <w:p w:rsidR="00172664" w:rsidRPr="00F0006F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І </w:t>
            </w:r>
            <w:proofErr w:type="spellStart"/>
            <w:proofErr w:type="gram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івріччя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172664" w:rsidRPr="00601654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567" w:type="dxa"/>
            <w:vAlign w:val="center"/>
          </w:tcPr>
          <w:p w:rsidR="00172664" w:rsidRPr="00F0006F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І </w:t>
            </w:r>
            <w:proofErr w:type="spellStart"/>
            <w:proofErr w:type="gram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івріччя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172664" w:rsidRPr="00601654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567" w:type="dxa"/>
            <w:vAlign w:val="center"/>
          </w:tcPr>
          <w:p w:rsidR="00172664" w:rsidRPr="00F0006F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І </w:t>
            </w:r>
            <w:proofErr w:type="spellStart"/>
            <w:proofErr w:type="gram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івріччя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172664" w:rsidRPr="00601654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567" w:type="dxa"/>
            <w:vAlign w:val="center"/>
          </w:tcPr>
          <w:p w:rsidR="00172664" w:rsidRPr="00F0006F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І </w:t>
            </w:r>
            <w:proofErr w:type="spellStart"/>
            <w:proofErr w:type="gram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івріччя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172664" w:rsidRPr="00601654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567" w:type="dxa"/>
            <w:vAlign w:val="center"/>
          </w:tcPr>
          <w:p w:rsidR="00172664" w:rsidRPr="00F0006F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І </w:t>
            </w:r>
            <w:proofErr w:type="spellStart"/>
            <w:proofErr w:type="gram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івріччя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72664" w:rsidRPr="00EB7B1C" w:rsidTr="003E1019">
        <w:tc>
          <w:tcPr>
            <w:tcW w:w="817" w:type="dxa"/>
            <w:vAlign w:val="center"/>
          </w:tcPr>
          <w:p w:rsidR="00172664" w:rsidRPr="00F0006F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172664" w:rsidRPr="00F0006F" w:rsidRDefault="00172664" w:rsidP="003E1019">
            <w:pPr>
              <w:pStyle w:val="ab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Укладено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переукладено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договорів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567" w:type="dxa"/>
            <w:vAlign w:val="center"/>
          </w:tcPr>
          <w:p w:rsidR="00172664" w:rsidRPr="00EB7B1C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  <w:vAlign w:val="center"/>
          </w:tcPr>
          <w:p w:rsidR="00172664" w:rsidRPr="003D34BC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172664" w:rsidRPr="00EB7B1C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172664" w:rsidRPr="003D34BC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172664" w:rsidRPr="00EB7B1C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172664" w:rsidRPr="003D34BC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172664" w:rsidRPr="00EB7B1C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172664" w:rsidRPr="003D34BC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172664" w:rsidRPr="00EB7B1C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vAlign w:val="center"/>
          </w:tcPr>
          <w:p w:rsidR="00172664" w:rsidRPr="003D34BC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172664" w:rsidRPr="00EB7B1C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</w:tr>
      <w:tr w:rsidR="00172664" w:rsidRPr="00EB7B1C" w:rsidTr="003E1019">
        <w:tc>
          <w:tcPr>
            <w:tcW w:w="817" w:type="dxa"/>
            <w:vAlign w:val="center"/>
          </w:tcPr>
          <w:p w:rsidR="00172664" w:rsidRPr="00F0006F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172664" w:rsidRPr="00F0006F" w:rsidRDefault="00172664" w:rsidP="003E1019">
            <w:pPr>
              <w:pStyle w:val="ab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Укладено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додаткових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угод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gram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тому </w:t>
            </w: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числі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67" w:type="dxa"/>
            <w:vAlign w:val="center"/>
          </w:tcPr>
          <w:p w:rsidR="00172664" w:rsidRPr="00EB7B1C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8" w:type="dxa"/>
            <w:vAlign w:val="center"/>
          </w:tcPr>
          <w:p w:rsidR="00172664" w:rsidRPr="003D34BC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172664" w:rsidRPr="00EB7B1C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172664" w:rsidRPr="003D34BC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172664" w:rsidRPr="00EB7B1C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172664" w:rsidRPr="003D34BC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  <w:vAlign w:val="center"/>
          </w:tcPr>
          <w:p w:rsidR="00172664" w:rsidRPr="00EB7B1C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172664" w:rsidRPr="003D34BC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172664" w:rsidRPr="00EB7B1C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08" w:type="dxa"/>
            <w:vAlign w:val="center"/>
          </w:tcPr>
          <w:p w:rsidR="00172664" w:rsidRPr="003D34BC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  <w:vAlign w:val="center"/>
          </w:tcPr>
          <w:p w:rsidR="00172664" w:rsidRPr="00EB7B1C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172664" w:rsidRPr="00EB7B1C" w:rsidTr="003E1019">
        <w:tc>
          <w:tcPr>
            <w:tcW w:w="817" w:type="dxa"/>
            <w:vAlign w:val="center"/>
          </w:tcPr>
          <w:p w:rsidR="00172664" w:rsidRPr="00F0006F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2.1.</w:t>
            </w:r>
          </w:p>
        </w:tc>
        <w:tc>
          <w:tcPr>
            <w:tcW w:w="1985" w:type="dxa"/>
          </w:tcPr>
          <w:p w:rsidR="00172664" w:rsidRPr="00F0006F" w:rsidRDefault="00172664" w:rsidP="003E1019">
            <w:pPr>
              <w:pStyle w:val="ab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продовжено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договорів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567" w:type="dxa"/>
            <w:vAlign w:val="center"/>
          </w:tcPr>
          <w:p w:rsidR="00172664" w:rsidRPr="00EB7B1C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8" w:type="dxa"/>
            <w:vAlign w:val="center"/>
          </w:tcPr>
          <w:p w:rsidR="00172664" w:rsidRPr="003D34BC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172664" w:rsidRPr="00EB7B1C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172664" w:rsidRPr="003D34BC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172664" w:rsidRPr="00EB7B1C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172664" w:rsidRPr="003D34BC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172664" w:rsidRPr="00EB7B1C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172664" w:rsidRPr="003D34BC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172664" w:rsidRPr="00EB7B1C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08" w:type="dxa"/>
            <w:vAlign w:val="center"/>
          </w:tcPr>
          <w:p w:rsidR="00172664" w:rsidRPr="003D34BC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  <w:vAlign w:val="center"/>
          </w:tcPr>
          <w:p w:rsidR="00172664" w:rsidRPr="00EB7B1C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172664" w:rsidTr="003E1019">
        <w:tc>
          <w:tcPr>
            <w:tcW w:w="817" w:type="dxa"/>
            <w:vAlign w:val="center"/>
          </w:tcPr>
          <w:p w:rsidR="00172664" w:rsidRPr="00F0006F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:rsidR="00172664" w:rsidRPr="00F0006F" w:rsidRDefault="00172664" w:rsidP="003E1019">
            <w:pPr>
              <w:pStyle w:val="ab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Кількість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діючих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протягом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звітного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періоду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договорі</w:t>
            </w:r>
            <w:proofErr w:type="gram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spellEnd"/>
            <w:proofErr w:type="gram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яким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нараховувалась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орендна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плата</w:t>
            </w:r>
          </w:p>
        </w:tc>
        <w:tc>
          <w:tcPr>
            <w:tcW w:w="567" w:type="dxa"/>
            <w:vAlign w:val="center"/>
          </w:tcPr>
          <w:p w:rsidR="00172664" w:rsidRPr="00987E1D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36</w:t>
            </w:r>
          </w:p>
        </w:tc>
        <w:tc>
          <w:tcPr>
            <w:tcW w:w="708" w:type="dxa"/>
            <w:vAlign w:val="center"/>
          </w:tcPr>
          <w:p w:rsidR="00172664" w:rsidRPr="00987E1D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36</w:t>
            </w:r>
          </w:p>
        </w:tc>
        <w:tc>
          <w:tcPr>
            <w:tcW w:w="567" w:type="dxa"/>
            <w:vAlign w:val="center"/>
          </w:tcPr>
          <w:p w:rsidR="00172664" w:rsidRPr="00987E1D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709" w:type="dxa"/>
            <w:vAlign w:val="center"/>
          </w:tcPr>
          <w:p w:rsidR="00172664" w:rsidRPr="00987E1D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567" w:type="dxa"/>
            <w:vAlign w:val="center"/>
          </w:tcPr>
          <w:p w:rsidR="00172664" w:rsidRPr="00987E1D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709" w:type="dxa"/>
            <w:vAlign w:val="center"/>
          </w:tcPr>
          <w:p w:rsidR="00172664" w:rsidRPr="00987E1D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567" w:type="dxa"/>
            <w:vAlign w:val="center"/>
          </w:tcPr>
          <w:p w:rsidR="00172664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33</w:t>
            </w:r>
          </w:p>
        </w:tc>
        <w:tc>
          <w:tcPr>
            <w:tcW w:w="709" w:type="dxa"/>
            <w:vAlign w:val="center"/>
          </w:tcPr>
          <w:p w:rsidR="00172664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33</w:t>
            </w:r>
          </w:p>
        </w:tc>
        <w:tc>
          <w:tcPr>
            <w:tcW w:w="567" w:type="dxa"/>
            <w:vAlign w:val="center"/>
          </w:tcPr>
          <w:p w:rsidR="00172664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708" w:type="dxa"/>
            <w:vAlign w:val="center"/>
          </w:tcPr>
          <w:p w:rsidR="00172664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567" w:type="dxa"/>
            <w:vAlign w:val="center"/>
          </w:tcPr>
          <w:p w:rsidR="00172664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34</w:t>
            </w:r>
          </w:p>
        </w:tc>
      </w:tr>
      <w:tr w:rsidR="00172664" w:rsidRPr="003D13DF" w:rsidTr="003E1019">
        <w:tc>
          <w:tcPr>
            <w:tcW w:w="817" w:type="dxa"/>
            <w:vAlign w:val="center"/>
          </w:tcPr>
          <w:p w:rsidR="00172664" w:rsidRPr="00F0006F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4</w:t>
            </w:r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172664" w:rsidRPr="00F0006F" w:rsidRDefault="00172664" w:rsidP="003E1019">
            <w:pPr>
              <w:pStyle w:val="ab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Нараховано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орендної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плати </w:t>
            </w: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ПДВ (тис</w:t>
            </w:r>
            <w:proofErr w:type="gram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рн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567" w:type="dxa"/>
            <w:vAlign w:val="center"/>
          </w:tcPr>
          <w:p w:rsidR="00172664" w:rsidRPr="003D13DF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499,308</w:t>
            </w:r>
          </w:p>
        </w:tc>
        <w:tc>
          <w:tcPr>
            <w:tcW w:w="708" w:type="dxa"/>
            <w:vAlign w:val="center"/>
          </w:tcPr>
          <w:p w:rsidR="00172664" w:rsidRPr="003D13DF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1056,451</w:t>
            </w:r>
          </w:p>
        </w:tc>
        <w:tc>
          <w:tcPr>
            <w:tcW w:w="567" w:type="dxa"/>
            <w:vAlign w:val="center"/>
          </w:tcPr>
          <w:p w:rsidR="00172664" w:rsidRPr="003D13DF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592,300</w:t>
            </w:r>
          </w:p>
        </w:tc>
        <w:tc>
          <w:tcPr>
            <w:tcW w:w="709" w:type="dxa"/>
            <w:vAlign w:val="center"/>
          </w:tcPr>
          <w:p w:rsidR="00172664" w:rsidRPr="003D13DF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1148,899</w:t>
            </w:r>
          </w:p>
        </w:tc>
        <w:tc>
          <w:tcPr>
            <w:tcW w:w="567" w:type="dxa"/>
            <w:vAlign w:val="center"/>
          </w:tcPr>
          <w:p w:rsidR="00172664" w:rsidRPr="003D13DF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655,400</w:t>
            </w:r>
          </w:p>
        </w:tc>
        <w:tc>
          <w:tcPr>
            <w:tcW w:w="709" w:type="dxa"/>
            <w:vAlign w:val="center"/>
          </w:tcPr>
          <w:p w:rsidR="00172664" w:rsidRPr="003D13DF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1348,257</w:t>
            </w:r>
          </w:p>
        </w:tc>
        <w:tc>
          <w:tcPr>
            <w:tcW w:w="567" w:type="dxa"/>
            <w:vAlign w:val="center"/>
          </w:tcPr>
          <w:p w:rsidR="00172664" w:rsidRPr="003D13DF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629,300</w:t>
            </w:r>
          </w:p>
        </w:tc>
        <w:tc>
          <w:tcPr>
            <w:tcW w:w="709" w:type="dxa"/>
            <w:vAlign w:val="center"/>
          </w:tcPr>
          <w:p w:rsidR="00172664" w:rsidRPr="003D13DF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1261,632</w:t>
            </w:r>
          </w:p>
        </w:tc>
        <w:tc>
          <w:tcPr>
            <w:tcW w:w="567" w:type="dxa"/>
            <w:vAlign w:val="center"/>
          </w:tcPr>
          <w:p w:rsidR="00172664" w:rsidRPr="003D13DF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637,800</w:t>
            </w:r>
          </w:p>
        </w:tc>
        <w:tc>
          <w:tcPr>
            <w:tcW w:w="708" w:type="dxa"/>
            <w:vAlign w:val="center"/>
          </w:tcPr>
          <w:p w:rsidR="00172664" w:rsidRPr="003D13DF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1342,690</w:t>
            </w:r>
          </w:p>
        </w:tc>
        <w:tc>
          <w:tcPr>
            <w:tcW w:w="567" w:type="dxa"/>
            <w:vAlign w:val="center"/>
          </w:tcPr>
          <w:p w:rsidR="00172664" w:rsidRPr="003D13DF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632,000</w:t>
            </w:r>
          </w:p>
        </w:tc>
      </w:tr>
      <w:tr w:rsidR="00172664" w:rsidRPr="003D13DF" w:rsidTr="003E1019">
        <w:tc>
          <w:tcPr>
            <w:tcW w:w="817" w:type="dxa"/>
            <w:vAlign w:val="center"/>
          </w:tcPr>
          <w:p w:rsidR="00172664" w:rsidRPr="00F0006F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172664" w:rsidRPr="00F0006F" w:rsidRDefault="00172664" w:rsidP="003E1019">
            <w:pPr>
              <w:pStyle w:val="ab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Отримано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орендної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плати </w:t>
            </w: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ПДВ (тис</w:t>
            </w:r>
            <w:proofErr w:type="gram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рн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567" w:type="dxa"/>
            <w:vAlign w:val="center"/>
          </w:tcPr>
          <w:p w:rsidR="00172664" w:rsidRPr="003D13DF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492,841</w:t>
            </w:r>
          </w:p>
        </w:tc>
        <w:tc>
          <w:tcPr>
            <w:tcW w:w="708" w:type="dxa"/>
            <w:vAlign w:val="center"/>
          </w:tcPr>
          <w:p w:rsidR="00172664" w:rsidRPr="003D13DF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1000,595</w:t>
            </w:r>
          </w:p>
        </w:tc>
        <w:tc>
          <w:tcPr>
            <w:tcW w:w="567" w:type="dxa"/>
            <w:vAlign w:val="center"/>
          </w:tcPr>
          <w:p w:rsidR="00172664" w:rsidRPr="003D13DF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590,000</w:t>
            </w:r>
          </w:p>
        </w:tc>
        <w:tc>
          <w:tcPr>
            <w:tcW w:w="709" w:type="dxa"/>
            <w:vAlign w:val="center"/>
          </w:tcPr>
          <w:p w:rsidR="00172664" w:rsidRPr="003D13DF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1148,895</w:t>
            </w:r>
          </w:p>
        </w:tc>
        <w:tc>
          <w:tcPr>
            <w:tcW w:w="567" w:type="dxa"/>
            <w:vAlign w:val="center"/>
          </w:tcPr>
          <w:p w:rsidR="00172664" w:rsidRPr="003D13DF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655,000</w:t>
            </w:r>
          </w:p>
        </w:tc>
        <w:tc>
          <w:tcPr>
            <w:tcW w:w="709" w:type="dxa"/>
            <w:vAlign w:val="center"/>
          </w:tcPr>
          <w:p w:rsidR="00172664" w:rsidRPr="003D13DF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1348,257</w:t>
            </w:r>
          </w:p>
        </w:tc>
        <w:tc>
          <w:tcPr>
            <w:tcW w:w="567" w:type="dxa"/>
            <w:vAlign w:val="center"/>
          </w:tcPr>
          <w:p w:rsidR="00172664" w:rsidRPr="003D13DF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626,400</w:t>
            </w:r>
          </w:p>
        </w:tc>
        <w:tc>
          <w:tcPr>
            <w:tcW w:w="709" w:type="dxa"/>
            <w:vAlign w:val="center"/>
          </w:tcPr>
          <w:p w:rsidR="00172664" w:rsidRPr="003D13DF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1242,057</w:t>
            </w:r>
          </w:p>
        </w:tc>
        <w:tc>
          <w:tcPr>
            <w:tcW w:w="567" w:type="dxa"/>
            <w:vAlign w:val="center"/>
          </w:tcPr>
          <w:p w:rsidR="00172664" w:rsidRPr="003D13DF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605,000</w:t>
            </w:r>
          </w:p>
        </w:tc>
        <w:tc>
          <w:tcPr>
            <w:tcW w:w="708" w:type="dxa"/>
            <w:vAlign w:val="center"/>
          </w:tcPr>
          <w:p w:rsidR="00172664" w:rsidRPr="003D13DF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1323,117</w:t>
            </w:r>
          </w:p>
        </w:tc>
        <w:tc>
          <w:tcPr>
            <w:tcW w:w="567" w:type="dxa"/>
            <w:vAlign w:val="center"/>
          </w:tcPr>
          <w:p w:rsidR="00172664" w:rsidRPr="003D13DF" w:rsidRDefault="00172664" w:rsidP="003E1019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590,000</w:t>
            </w:r>
          </w:p>
        </w:tc>
      </w:tr>
    </w:tbl>
    <w:p w:rsidR="00172664" w:rsidRDefault="00172664" w:rsidP="00172664">
      <w:pPr>
        <w:ind w:firstLine="851"/>
        <w:jc w:val="both"/>
        <w:rPr>
          <w:lang w:val="uk-UA"/>
        </w:rPr>
      </w:pPr>
    </w:p>
    <w:p w:rsidR="00172664" w:rsidRPr="000F3DE8" w:rsidRDefault="00172664" w:rsidP="00172664">
      <w:pPr>
        <w:ind w:firstLine="709"/>
        <w:jc w:val="both"/>
        <w:rPr>
          <w:lang w:val="uk-UA"/>
        </w:rPr>
      </w:pPr>
      <w:r w:rsidRPr="00172664">
        <w:rPr>
          <w:lang w:val="uk-UA"/>
        </w:rPr>
        <w:t xml:space="preserve">За результатами відстеження результативності встановлено, що </w:t>
      </w:r>
      <w:r>
        <w:rPr>
          <w:lang w:val="uk-UA"/>
        </w:rPr>
        <w:t>д</w:t>
      </w:r>
      <w:r w:rsidRPr="00172664">
        <w:rPr>
          <w:lang w:val="uk-UA"/>
        </w:rPr>
        <w:t>ани</w:t>
      </w:r>
      <w:r w:rsidR="007B699B">
        <w:rPr>
          <w:lang w:val="uk-UA"/>
        </w:rPr>
        <w:t>й</w:t>
      </w:r>
      <w:r w:rsidRPr="00172664">
        <w:rPr>
          <w:lang w:val="uk-UA"/>
        </w:rPr>
        <w:t xml:space="preserve"> </w:t>
      </w:r>
      <w:r>
        <w:rPr>
          <w:lang w:val="uk-UA"/>
        </w:rPr>
        <w:t xml:space="preserve">регуляторний акт має високий ступінь досягнення визначених цілей, його впровадження створило можливість Броварській районній раді більш ефективно контролювати надання в оренду комунального майна, що перебуває </w:t>
      </w:r>
      <w:r w:rsidRPr="00741B53">
        <w:rPr>
          <w:lang w:val="uk-UA"/>
        </w:rPr>
        <w:t>у спільній сумісній власності територіальної громади міста Бровари Київської області та територіальних громад сіл та селищ Броварського району</w:t>
      </w:r>
      <w:r>
        <w:rPr>
          <w:lang w:val="uk-UA"/>
        </w:rPr>
        <w:t xml:space="preserve">, збільшити надходження коштів від оренди, задовольнити потреби </w:t>
      </w:r>
      <w:proofErr w:type="spellStart"/>
      <w:r>
        <w:rPr>
          <w:lang w:val="uk-UA"/>
        </w:rPr>
        <w:t>балансоутримувачів</w:t>
      </w:r>
      <w:proofErr w:type="spellEnd"/>
      <w:r>
        <w:rPr>
          <w:lang w:val="uk-UA"/>
        </w:rPr>
        <w:t xml:space="preserve"> з метою покриття видатків, пов’язаних з підтриманням комунального майна у належному стані.</w:t>
      </w:r>
      <w:r w:rsidRPr="00F0006F">
        <w:rPr>
          <w:lang w:val="uk-UA"/>
        </w:rPr>
        <w:t xml:space="preserve"> </w:t>
      </w:r>
    </w:p>
    <w:p w:rsidR="00172664" w:rsidRDefault="00172664" w:rsidP="00172664">
      <w:pPr>
        <w:ind w:firstLine="709"/>
        <w:jc w:val="both"/>
        <w:rPr>
          <w:lang w:val="uk-UA"/>
        </w:rPr>
      </w:pPr>
      <w:r>
        <w:rPr>
          <w:lang w:val="uk-UA"/>
        </w:rPr>
        <w:t>Даний регуляторний акт не потребує змін чи доповнень.</w:t>
      </w:r>
    </w:p>
    <w:p w:rsidR="007B699B" w:rsidRDefault="007B699B" w:rsidP="00172664">
      <w:pPr>
        <w:ind w:firstLine="709"/>
        <w:jc w:val="both"/>
        <w:rPr>
          <w:lang w:val="uk-UA"/>
        </w:rPr>
      </w:pPr>
    </w:p>
    <w:p w:rsidR="00FE431D" w:rsidRPr="00FE431D" w:rsidRDefault="00A32599" w:rsidP="00FE431D">
      <w:pPr>
        <w:ind w:firstLine="709"/>
        <w:jc w:val="both"/>
        <w:rPr>
          <w:lang w:val="uk-UA"/>
        </w:rPr>
      </w:pPr>
      <w:r>
        <w:rPr>
          <w:lang w:val="uk-UA"/>
        </w:rPr>
        <w:t>В</w:t>
      </w:r>
      <w:r w:rsidR="00FE431D" w:rsidRPr="00FE431D">
        <w:rPr>
          <w:lang w:val="uk-UA"/>
        </w:rPr>
        <w:t>сі звіти про відстеження результативності дії регуляторних актів оприлюднені в газеті «Нове життя» № 33 (10697) від 28.08.2020 та № 35 (10699) від 11.09.2020)</w:t>
      </w:r>
      <w:r w:rsidR="007B699B">
        <w:rPr>
          <w:lang w:val="uk-UA"/>
        </w:rPr>
        <w:t xml:space="preserve"> та</w:t>
      </w:r>
      <w:r w:rsidR="00FE431D" w:rsidRPr="00FE431D">
        <w:rPr>
          <w:lang w:val="uk-UA"/>
        </w:rPr>
        <w:t xml:space="preserve"> на офіційному </w:t>
      </w:r>
      <w:proofErr w:type="spellStart"/>
      <w:r w:rsidR="00FE431D" w:rsidRPr="00FE431D">
        <w:rPr>
          <w:lang w:val="uk-UA"/>
        </w:rPr>
        <w:t>веб</w:t>
      </w:r>
      <w:proofErr w:type="spellEnd"/>
      <w:r w:rsidR="00FE431D" w:rsidRPr="00FE431D">
        <w:rPr>
          <w:lang w:val="uk-UA"/>
        </w:rPr>
        <w:t xml:space="preserve"> – сайті Броварської районної ради </w:t>
      </w:r>
      <w:hyperlink r:id="rId6" w:history="1">
        <w:r w:rsidR="00FE431D" w:rsidRPr="000039C1">
          <w:rPr>
            <w:rStyle w:val="a3"/>
          </w:rPr>
          <w:t>http</w:t>
        </w:r>
        <w:r w:rsidR="00FE431D" w:rsidRPr="00FE431D">
          <w:rPr>
            <w:rStyle w:val="a3"/>
            <w:lang w:val="uk-UA"/>
          </w:rPr>
          <w:t>://</w:t>
        </w:r>
        <w:r w:rsidR="00FE431D" w:rsidRPr="000039C1">
          <w:rPr>
            <w:rStyle w:val="a3"/>
          </w:rPr>
          <w:t>brovrayrada</w:t>
        </w:r>
        <w:r w:rsidR="00FE431D" w:rsidRPr="00FE431D">
          <w:rPr>
            <w:rStyle w:val="a3"/>
            <w:lang w:val="uk-UA"/>
          </w:rPr>
          <w:t>.</w:t>
        </w:r>
        <w:r w:rsidR="00FE431D" w:rsidRPr="000039C1">
          <w:rPr>
            <w:rStyle w:val="a3"/>
          </w:rPr>
          <w:t>gov</w:t>
        </w:r>
        <w:r w:rsidR="00FE431D" w:rsidRPr="00FE431D">
          <w:rPr>
            <w:rStyle w:val="a3"/>
            <w:lang w:val="uk-UA"/>
          </w:rPr>
          <w:t>.</w:t>
        </w:r>
        <w:proofErr w:type="spellStart"/>
        <w:r w:rsidR="00FE431D" w:rsidRPr="000039C1">
          <w:rPr>
            <w:rStyle w:val="a3"/>
          </w:rPr>
          <w:t>ua</w:t>
        </w:r>
        <w:proofErr w:type="spellEnd"/>
      </w:hyperlink>
      <w:r w:rsidR="00FE431D" w:rsidRPr="00FE431D">
        <w:rPr>
          <w:lang w:val="uk-UA"/>
        </w:rPr>
        <w:t xml:space="preserve"> в розділі «Діяльність районної ради</w:t>
      </w:r>
      <w:r w:rsidR="00FE431D">
        <w:rPr>
          <w:lang w:val="uk-UA"/>
        </w:rPr>
        <w:t>» → «Регуляторна політика».</w:t>
      </w:r>
    </w:p>
    <w:p w:rsidR="00FE431D" w:rsidRPr="00172664" w:rsidRDefault="00FE431D" w:rsidP="00FE431D">
      <w:pPr>
        <w:ind w:firstLine="851"/>
        <w:jc w:val="both"/>
        <w:rPr>
          <w:lang w:val="uk-UA"/>
        </w:rPr>
      </w:pPr>
      <w:r w:rsidRPr="00172664">
        <w:rPr>
          <w:lang w:val="uk-UA"/>
        </w:rPr>
        <w:t>З метою проведення моніторингу результативності регуляторних актів і контролю за їх впровадженням розроблено план – графік проведення заходів з відстеження результативності прийнятих регуляторних актів, із зазначенням термінів їх виконання (план – графік на 202</w:t>
      </w:r>
      <w:r>
        <w:rPr>
          <w:lang w:val="uk-UA"/>
        </w:rPr>
        <w:t>1</w:t>
      </w:r>
      <w:r w:rsidRPr="00172664">
        <w:rPr>
          <w:lang w:val="uk-UA"/>
        </w:rPr>
        <w:t xml:space="preserve"> рік додається).</w:t>
      </w:r>
    </w:p>
    <w:p w:rsidR="00FE431D" w:rsidRDefault="00FE431D" w:rsidP="00172664">
      <w:pPr>
        <w:ind w:firstLine="851"/>
        <w:jc w:val="both"/>
        <w:rPr>
          <w:lang w:val="uk-UA"/>
        </w:rPr>
      </w:pPr>
    </w:p>
    <w:p w:rsidR="00172664" w:rsidRDefault="00172664" w:rsidP="00172664">
      <w:pPr>
        <w:ind w:firstLine="851"/>
        <w:jc w:val="both"/>
      </w:pPr>
      <w:proofErr w:type="spellStart"/>
      <w:r>
        <w:t>Додаток</w:t>
      </w:r>
      <w:proofErr w:type="spellEnd"/>
      <w:r>
        <w:t xml:space="preserve"> на 2 </w:t>
      </w:r>
      <w:proofErr w:type="spellStart"/>
      <w:r>
        <w:t>арк</w:t>
      </w:r>
      <w:proofErr w:type="spellEnd"/>
      <w:r>
        <w:t>.</w:t>
      </w:r>
    </w:p>
    <w:p w:rsidR="00172664" w:rsidRDefault="00172664" w:rsidP="00172664">
      <w:pPr>
        <w:ind w:firstLine="851"/>
        <w:jc w:val="both"/>
      </w:pPr>
    </w:p>
    <w:p w:rsidR="00C80464" w:rsidRDefault="00C80464" w:rsidP="00C80464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lang w:val="uk-UA"/>
        </w:rPr>
      </w:pPr>
    </w:p>
    <w:p w:rsidR="00530E03" w:rsidRPr="00D93EC5" w:rsidRDefault="00530E03" w:rsidP="00C80464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lang w:val="uk-UA"/>
        </w:rPr>
      </w:pPr>
    </w:p>
    <w:p w:rsidR="00676628" w:rsidRDefault="00676628" w:rsidP="00676628">
      <w:pPr>
        <w:rPr>
          <w:b/>
          <w:lang w:val="uk-UA"/>
        </w:rPr>
      </w:pPr>
      <w:r>
        <w:rPr>
          <w:b/>
          <w:lang w:val="uk-UA"/>
        </w:rPr>
        <w:t>Виконувач обов’язків голови адміністрації                       П. ПРОСКОЧИЛО</w:t>
      </w:r>
    </w:p>
    <w:sectPr w:rsidR="00676628" w:rsidSect="00F460BD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5A2" w:rsidRDefault="002605A2" w:rsidP="00530E03">
      <w:r>
        <w:separator/>
      </w:r>
    </w:p>
  </w:endnote>
  <w:endnote w:type="continuationSeparator" w:id="0">
    <w:p w:rsidR="002605A2" w:rsidRDefault="002605A2" w:rsidP="00530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4876"/>
      <w:docPartObj>
        <w:docPartGallery w:val="Page Numbers (Bottom of Page)"/>
        <w:docPartUnique/>
      </w:docPartObj>
    </w:sdtPr>
    <w:sdtContent>
      <w:p w:rsidR="00530E03" w:rsidRDefault="00051029">
        <w:pPr>
          <w:pStyle w:val="a7"/>
          <w:jc w:val="right"/>
        </w:pPr>
        <w:fldSimple w:instr=" PAGE   \* MERGEFORMAT ">
          <w:r w:rsidR="00676628">
            <w:rPr>
              <w:noProof/>
            </w:rPr>
            <w:t>1</w:t>
          </w:r>
        </w:fldSimple>
      </w:p>
    </w:sdtContent>
  </w:sdt>
  <w:p w:rsidR="00530E03" w:rsidRDefault="00530E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5A2" w:rsidRDefault="002605A2" w:rsidP="00530E03">
      <w:r>
        <w:separator/>
      </w:r>
    </w:p>
  </w:footnote>
  <w:footnote w:type="continuationSeparator" w:id="0">
    <w:p w:rsidR="002605A2" w:rsidRDefault="002605A2" w:rsidP="00530E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464"/>
    <w:rsid w:val="00051029"/>
    <w:rsid w:val="00172664"/>
    <w:rsid w:val="001B25B9"/>
    <w:rsid w:val="0023373B"/>
    <w:rsid w:val="002605A2"/>
    <w:rsid w:val="002C3B3E"/>
    <w:rsid w:val="004C7DDD"/>
    <w:rsid w:val="00530E03"/>
    <w:rsid w:val="005B16B9"/>
    <w:rsid w:val="005E1685"/>
    <w:rsid w:val="00676628"/>
    <w:rsid w:val="00724B38"/>
    <w:rsid w:val="007A7077"/>
    <w:rsid w:val="007B699B"/>
    <w:rsid w:val="00A208E1"/>
    <w:rsid w:val="00A32599"/>
    <w:rsid w:val="00B25224"/>
    <w:rsid w:val="00B5310A"/>
    <w:rsid w:val="00B8526F"/>
    <w:rsid w:val="00C80464"/>
    <w:rsid w:val="00CA0D7B"/>
    <w:rsid w:val="00F460BD"/>
    <w:rsid w:val="00FE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6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80464"/>
    <w:rPr>
      <w:color w:val="0000FF"/>
      <w:u w:val="single"/>
    </w:rPr>
  </w:style>
  <w:style w:type="paragraph" w:styleId="a4">
    <w:name w:val="Normal (Web)"/>
    <w:basedOn w:val="a"/>
    <w:uiPriority w:val="99"/>
    <w:qFormat/>
    <w:rsid w:val="00C8046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header"/>
    <w:basedOn w:val="a"/>
    <w:link w:val="a6"/>
    <w:uiPriority w:val="99"/>
    <w:semiHidden/>
    <w:unhideWhenUsed/>
    <w:rsid w:val="00530E0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0E03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530E0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0E03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table" w:styleId="a9">
    <w:name w:val="Table Grid"/>
    <w:basedOn w:val="a1"/>
    <w:uiPriority w:val="59"/>
    <w:rsid w:val="0017266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17266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lang w:eastAsia="uk-UA"/>
    </w:rPr>
  </w:style>
  <w:style w:type="character" w:styleId="aa">
    <w:name w:val="Strong"/>
    <w:basedOn w:val="a0"/>
    <w:qFormat/>
    <w:rsid w:val="00172664"/>
    <w:rPr>
      <w:b/>
      <w:bCs/>
    </w:rPr>
  </w:style>
  <w:style w:type="paragraph" w:styleId="ab">
    <w:name w:val="Body Text"/>
    <w:basedOn w:val="a"/>
    <w:link w:val="ac"/>
    <w:uiPriority w:val="99"/>
    <w:unhideWhenUsed/>
    <w:rsid w:val="00172664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172664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rovrayrada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5501</Words>
  <Characters>3137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User03</cp:lastModifiedBy>
  <cp:revision>10</cp:revision>
  <cp:lastPrinted>2021-03-30T10:02:00Z</cp:lastPrinted>
  <dcterms:created xsi:type="dcterms:W3CDTF">2021-03-12T09:33:00Z</dcterms:created>
  <dcterms:modified xsi:type="dcterms:W3CDTF">2021-03-30T10:07:00Z</dcterms:modified>
</cp:coreProperties>
</file>