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A3" w:rsidRDefault="009066A3" w:rsidP="00A739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Інформація </w:t>
      </w:r>
    </w:p>
    <w:p w:rsidR="009066A3" w:rsidRDefault="009066A3" w:rsidP="00A739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9D058D" w:rsidRPr="009D058D">
        <w:rPr>
          <w:rFonts w:ascii="Times New Roman" w:hAnsi="Times New Roman" w:cs="Times New Roman"/>
          <w:b/>
          <w:sz w:val="28"/>
          <w:szCs w:val="28"/>
        </w:rPr>
        <w:t xml:space="preserve">ро хід виконання районною державною адміністрацією </w:t>
      </w:r>
    </w:p>
    <w:p w:rsidR="009D058D" w:rsidRDefault="009D058D" w:rsidP="00A7393F">
      <w:pPr>
        <w:spacing w:after="0" w:line="240" w:lineRule="auto"/>
        <w:jc w:val="center"/>
        <w:rPr>
          <w:rFonts w:ascii="Times New Roman" w:hAnsi="Times New Roman" w:cs="Times New Roman"/>
          <w:b/>
          <w:sz w:val="28"/>
          <w:szCs w:val="28"/>
        </w:rPr>
      </w:pPr>
      <w:r w:rsidRPr="009D058D">
        <w:rPr>
          <w:rFonts w:ascii="Times New Roman" w:hAnsi="Times New Roman" w:cs="Times New Roman"/>
          <w:b/>
          <w:sz w:val="28"/>
          <w:szCs w:val="28"/>
        </w:rPr>
        <w:t>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w:t>
      </w:r>
    </w:p>
    <w:p w:rsidR="00D42B2E" w:rsidRDefault="00D42B2E" w:rsidP="00A7393F">
      <w:pPr>
        <w:spacing w:after="0" w:line="240" w:lineRule="auto"/>
        <w:jc w:val="center"/>
        <w:rPr>
          <w:rFonts w:ascii="Times New Roman" w:hAnsi="Times New Roman" w:cs="Times New Roman"/>
          <w:b/>
          <w:sz w:val="28"/>
          <w:szCs w:val="28"/>
        </w:rPr>
      </w:pPr>
    </w:p>
    <w:p w:rsidR="009D058D" w:rsidRDefault="009D058D" w:rsidP="002431C6">
      <w:pPr>
        <w:spacing w:after="0" w:line="240" w:lineRule="auto"/>
        <w:ind w:firstLine="709"/>
        <w:jc w:val="both"/>
        <w:rPr>
          <w:rFonts w:ascii="Times New Roman" w:hAnsi="Times New Roman" w:cs="Times New Roman"/>
          <w:sz w:val="28"/>
          <w:szCs w:val="28"/>
        </w:rPr>
      </w:pPr>
      <w:r w:rsidRPr="009D058D">
        <w:rPr>
          <w:rFonts w:ascii="Times New Roman" w:hAnsi="Times New Roman" w:cs="Times New Roman"/>
          <w:sz w:val="28"/>
          <w:szCs w:val="28"/>
        </w:rPr>
        <w:t>Регуляторна політика в Броварському районі спрямована на вдосконалення правового регулювання господарських відносин, недопущення прийняття економічно недоцільних та неефективних регуляторних актів, зменшення втручання у діяльність суб’єктів господарювання та усунення перешкод для розвитку господарської діяльності.</w:t>
      </w:r>
    </w:p>
    <w:p w:rsidR="009D058D" w:rsidRDefault="009D058D" w:rsidP="002431C6">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Здійснення регуляторної політики відбувається у відповідності до вимог </w:t>
      </w:r>
      <w:r>
        <w:rPr>
          <w:rFonts w:ascii="Times New Roman" w:hAnsi="Times New Roman"/>
          <w:sz w:val="28"/>
          <w:szCs w:val="28"/>
        </w:rPr>
        <w:t>Закону України від 11.09.2003 № 1160-І</w:t>
      </w:r>
      <w:r>
        <w:rPr>
          <w:rFonts w:ascii="Times New Roman" w:hAnsi="Times New Roman"/>
          <w:sz w:val="28"/>
          <w:szCs w:val="28"/>
          <w:lang w:val="en-US"/>
        </w:rPr>
        <w:t>V</w:t>
      </w:r>
      <w:r w:rsidRPr="00505D20">
        <w:rPr>
          <w:rFonts w:ascii="Times New Roman" w:hAnsi="Times New Roman"/>
          <w:sz w:val="28"/>
          <w:szCs w:val="28"/>
        </w:rPr>
        <w:t xml:space="preserve"> </w:t>
      </w:r>
      <w:r>
        <w:rPr>
          <w:rFonts w:ascii="Times New Roman" w:hAnsi="Times New Roman"/>
          <w:sz w:val="28"/>
          <w:szCs w:val="28"/>
        </w:rPr>
        <w:t>«Про засади державної регуляторн</w:t>
      </w:r>
      <w:r w:rsidR="008877EF">
        <w:rPr>
          <w:rFonts w:ascii="Times New Roman" w:hAnsi="Times New Roman"/>
          <w:sz w:val="28"/>
          <w:szCs w:val="28"/>
        </w:rPr>
        <w:t>ої</w:t>
      </w:r>
      <w:r>
        <w:rPr>
          <w:rFonts w:ascii="Times New Roman" w:hAnsi="Times New Roman"/>
          <w:sz w:val="28"/>
          <w:szCs w:val="28"/>
        </w:rPr>
        <w:t xml:space="preserve"> політики у сфері господарської діяльності» та </w:t>
      </w:r>
      <w:r w:rsidR="008877EF">
        <w:rPr>
          <w:rFonts w:ascii="Times New Roman" w:hAnsi="Times New Roman"/>
          <w:sz w:val="28"/>
          <w:szCs w:val="28"/>
        </w:rPr>
        <w:t>П</w:t>
      </w:r>
      <w:r w:rsidRPr="000A7368">
        <w:rPr>
          <w:rFonts w:ascii="Times New Roman" w:hAnsi="Times New Roman"/>
          <w:color w:val="000000"/>
          <w:sz w:val="28"/>
          <w:szCs w:val="28"/>
          <w:shd w:val="clear" w:color="auto" w:fill="FFFFFF"/>
        </w:rPr>
        <w:t>останов</w:t>
      </w:r>
      <w:r>
        <w:rPr>
          <w:rFonts w:ascii="Times New Roman" w:hAnsi="Times New Roman"/>
          <w:color w:val="000000"/>
          <w:sz w:val="28"/>
          <w:szCs w:val="28"/>
          <w:shd w:val="clear" w:color="auto" w:fill="FFFFFF"/>
        </w:rPr>
        <w:t xml:space="preserve">и </w:t>
      </w:r>
      <w:r w:rsidRPr="000A7368">
        <w:rPr>
          <w:rFonts w:ascii="Times New Roman" w:hAnsi="Times New Roman"/>
          <w:color w:val="000000"/>
          <w:sz w:val="28"/>
          <w:szCs w:val="28"/>
          <w:shd w:val="clear" w:color="auto" w:fill="FFFFFF"/>
        </w:rPr>
        <w:t>Кабінету Міністрів України від 11.03.2004 № 308</w:t>
      </w:r>
      <w:r>
        <w:rPr>
          <w:rFonts w:ascii="Times New Roman" w:hAnsi="Times New Roman"/>
          <w:color w:val="000000"/>
          <w:sz w:val="28"/>
          <w:szCs w:val="28"/>
          <w:shd w:val="clear" w:color="auto" w:fill="FFFFFF"/>
        </w:rPr>
        <w:t xml:space="preserve"> «Про затвердження методик проведення аналізу впливу та відстеження результативності регуляторного акта».</w:t>
      </w:r>
    </w:p>
    <w:p w:rsidR="009D058D" w:rsidRPr="000A7368" w:rsidRDefault="009D058D" w:rsidP="002431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Особлива увага </w:t>
      </w:r>
      <w:r w:rsidR="00056F3A">
        <w:rPr>
          <w:rFonts w:ascii="Times New Roman" w:hAnsi="Times New Roman"/>
          <w:sz w:val="28"/>
          <w:szCs w:val="28"/>
        </w:rPr>
        <w:t>приділялася вдосконаленню правового регулювання господарських відносин, недопущення втручання у діяльність суб’єктів господарювання та усунення перешкод для розвитку господарської діяльності.</w:t>
      </w:r>
      <w:r w:rsidR="008877EF">
        <w:rPr>
          <w:rFonts w:ascii="Times New Roman" w:hAnsi="Times New Roman"/>
          <w:sz w:val="28"/>
          <w:szCs w:val="28"/>
        </w:rPr>
        <w:t xml:space="preserve"> </w:t>
      </w:r>
      <w:r w:rsidR="00056F3A">
        <w:rPr>
          <w:rFonts w:ascii="Times New Roman" w:hAnsi="Times New Roman"/>
          <w:sz w:val="28"/>
          <w:szCs w:val="28"/>
        </w:rPr>
        <w:t xml:space="preserve">Державна регуляторна політика у сфері господарської діяльності </w:t>
      </w:r>
      <w:r w:rsidR="008877EF">
        <w:rPr>
          <w:rFonts w:ascii="Times New Roman" w:hAnsi="Times New Roman"/>
          <w:sz w:val="28"/>
          <w:szCs w:val="28"/>
        </w:rPr>
        <w:t xml:space="preserve">в </w:t>
      </w:r>
      <w:r w:rsidR="00056F3A">
        <w:rPr>
          <w:rFonts w:ascii="Times New Roman" w:hAnsi="Times New Roman"/>
          <w:sz w:val="28"/>
          <w:szCs w:val="28"/>
        </w:rPr>
        <w:t>Броварському районі проводилась із дотриманням принципів доцільності, відповідності форм державного регулювання ринковим вимогам, ефективності, збалансованості інтересів господарювання, громадян та держави, передбачуваності регуляторної діяльності, прозорості та врахування громадської думки.</w:t>
      </w:r>
    </w:p>
    <w:p w:rsidR="009D058D" w:rsidRDefault="00BF384D" w:rsidP="002431C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Відповідно до ст. 37 </w:t>
      </w:r>
      <w:r>
        <w:rPr>
          <w:rFonts w:ascii="Times New Roman" w:hAnsi="Times New Roman"/>
          <w:sz w:val="28"/>
          <w:szCs w:val="28"/>
        </w:rPr>
        <w:t>Закону України «Про засади державної регуляторн</w:t>
      </w:r>
      <w:r w:rsidR="008877EF">
        <w:rPr>
          <w:rFonts w:ascii="Times New Roman" w:hAnsi="Times New Roman"/>
          <w:sz w:val="28"/>
          <w:szCs w:val="28"/>
        </w:rPr>
        <w:t>ої</w:t>
      </w:r>
      <w:r>
        <w:rPr>
          <w:rFonts w:ascii="Times New Roman" w:hAnsi="Times New Roman"/>
          <w:sz w:val="28"/>
          <w:szCs w:val="28"/>
        </w:rPr>
        <w:t xml:space="preserve"> політики у сфері господарської діяльності» та підпункту 18 пункту 1 рішення Броварської районної ради від 27.07.2006 № 26-3 </w:t>
      </w:r>
      <w:proofErr w:type="spellStart"/>
      <w:r>
        <w:rPr>
          <w:rFonts w:ascii="Times New Roman" w:hAnsi="Times New Roman"/>
          <w:sz w:val="28"/>
          <w:szCs w:val="28"/>
        </w:rPr>
        <w:t>позач</w:t>
      </w:r>
      <w:proofErr w:type="spellEnd"/>
      <w:r>
        <w:rPr>
          <w:rFonts w:ascii="Times New Roman" w:hAnsi="Times New Roman"/>
          <w:sz w:val="28"/>
          <w:szCs w:val="28"/>
        </w:rPr>
        <w:t xml:space="preserve">. – V «Про делегування повноважень Броварської районної ради Броварській районній державній адміністрації», </w:t>
      </w:r>
      <w:r w:rsidRPr="00D66968">
        <w:rPr>
          <w:rFonts w:ascii="Times New Roman" w:hAnsi="Times New Roman"/>
          <w:sz w:val="28"/>
          <w:szCs w:val="28"/>
        </w:rPr>
        <w:t>у 2019 році</w:t>
      </w:r>
      <w:r>
        <w:rPr>
          <w:rFonts w:ascii="Times New Roman" w:hAnsi="Times New Roman"/>
          <w:sz w:val="28"/>
          <w:szCs w:val="28"/>
        </w:rPr>
        <w:t xml:space="preserve"> відділом економіки райдержадміністрації були проведені періодичні відстеження результативності </w:t>
      </w:r>
      <w:r w:rsidRPr="00D66968">
        <w:rPr>
          <w:rFonts w:ascii="Times New Roman" w:hAnsi="Times New Roman"/>
          <w:sz w:val="28"/>
          <w:szCs w:val="28"/>
        </w:rPr>
        <w:t>2 регуляторних актів,</w:t>
      </w:r>
      <w:r>
        <w:rPr>
          <w:rFonts w:ascii="Times New Roman" w:hAnsi="Times New Roman"/>
          <w:sz w:val="28"/>
          <w:szCs w:val="28"/>
        </w:rPr>
        <w:t xml:space="preserve"> прийнятих </w:t>
      </w:r>
      <w:r w:rsidR="00861D47">
        <w:rPr>
          <w:rFonts w:ascii="Times New Roman" w:hAnsi="Times New Roman"/>
          <w:sz w:val="28"/>
          <w:szCs w:val="28"/>
        </w:rPr>
        <w:t>Броварською районною радою, а саме:</w:t>
      </w:r>
    </w:p>
    <w:p w:rsidR="00687F5B" w:rsidRDefault="00687F5B" w:rsidP="00243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Рішення Броварської районної ради від 28.02.2012 № 275-16-VІ «Про затвердження Положення про порядок передачі в оренду комунального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у новій редакції».</w:t>
      </w:r>
    </w:p>
    <w:p w:rsidR="00687F5B" w:rsidRDefault="00687F5B" w:rsidP="002431C6">
      <w:pPr>
        <w:spacing w:after="0" w:line="240" w:lineRule="auto"/>
        <w:ind w:firstLine="709"/>
        <w:jc w:val="both"/>
        <w:rPr>
          <w:rFonts w:ascii="Times New Roman" w:hAnsi="Times New Roman" w:cs="Times New Roman"/>
          <w:sz w:val="28"/>
          <w:szCs w:val="28"/>
        </w:rPr>
      </w:pPr>
      <w:r w:rsidRPr="00A7200E">
        <w:rPr>
          <w:rFonts w:ascii="Times New Roman" w:hAnsi="Times New Roman" w:cs="Times New Roman"/>
          <w:sz w:val="28"/>
          <w:szCs w:val="28"/>
        </w:rPr>
        <w:t>Відстеження результативност</w:t>
      </w:r>
      <w:r>
        <w:rPr>
          <w:rFonts w:ascii="Times New Roman" w:hAnsi="Times New Roman" w:cs="Times New Roman"/>
          <w:sz w:val="28"/>
          <w:szCs w:val="28"/>
        </w:rPr>
        <w:t>і регуляторного акта проводилось на підставі показників кількості укладених договорів оренди, надходження коштів від оренди майна спільної сумісної власності територіальної громади міста Бровари Київської області та територіальних громад сіл та селищ Броварського району.</w:t>
      </w:r>
    </w:p>
    <w:p w:rsidR="00D42B2E" w:rsidRDefault="00D42B2E" w:rsidP="002431C6">
      <w:pPr>
        <w:spacing w:after="0" w:line="240" w:lineRule="auto"/>
        <w:ind w:firstLine="709"/>
        <w:jc w:val="both"/>
        <w:rPr>
          <w:rFonts w:ascii="Times New Roman" w:hAnsi="Times New Roman" w:cs="Times New Roman"/>
          <w:sz w:val="28"/>
          <w:szCs w:val="28"/>
        </w:rPr>
      </w:pPr>
    </w:p>
    <w:tbl>
      <w:tblPr>
        <w:tblStyle w:val="a3"/>
        <w:tblW w:w="0" w:type="auto"/>
        <w:tblLook w:val="04A0"/>
      </w:tblPr>
      <w:tblGrid>
        <w:gridCol w:w="949"/>
        <w:gridCol w:w="4211"/>
        <w:gridCol w:w="1418"/>
        <w:gridCol w:w="1468"/>
        <w:gridCol w:w="1525"/>
      </w:tblGrid>
      <w:tr w:rsidR="00687F5B" w:rsidRPr="00B260F5" w:rsidTr="00167366">
        <w:trPr>
          <w:trHeight w:val="533"/>
        </w:trPr>
        <w:tc>
          <w:tcPr>
            <w:tcW w:w="949" w:type="dxa"/>
            <w:vAlign w:val="bottom"/>
          </w:tcPr>
          <w:p w:rsidR="00687F5B" w:rsidRPr="00B260F5" w:rsidRDefault="00687F5B" w:rsidP="00167366">
            <w:pPr>
              <w:overflowPunct w:val="0"/>
              <w:autoSpaceDE w:val="0"/>
              <w:autoSpaceDN w:val="0"/>
              <w:adjustRightInd w:val="0"/>
              <w:ind w:right="-108"/>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 п/п</w:t>
            </w:r>
          </w:p>
        </w:tc>
        <w:tc>
          <w:tcPr>
            <w:tcW w:w="4211" w:type="dxa"/>
            <w:vAlign w:val="bottom"/>
          </w:tcPr>
          <w:p w:rsidR="00687F5B" w:rsidRPr="00B260F5" w:rsidRDefault="00687F5B" w:rsidP="00167366">
            <w:pPr>
              <w:overflowPunct w:val="0"/>
              <w:autoSpaceDE w:val="0"/>
              <w:autoSpaceDN w:val="0"/>
              <w:adjustRightInd w:val="0"/>
              <w:ind w:right="-108"/>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Показники результативності</w:t>
            </w:r>
          </w:p>
        </w:tc>
        <w:tc>
          <w:tcPr>
            <w:tcW w:w="1418" w:type="dxa"/>
            <w:vAlign w:val="bottom"/>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2016 рік</w:t>
            </w:r>
          </w:p>
        </w:tc>
        <w:tc>
          <w:tcPr>
            <w:tcW w:w="1468" w:type="dxa"/>
            <w:vAlign w:val="bottom"/>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2017 рік</w:t>
            </w:r>
          </w:p>
        </w:tc>
        <w:tc>
          <w:tcPr>
            <w:tcW w:w="1525" w:type="dxa"/>
            <w:vAlign w:val="bottom"/>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2018 рік</w:t>
            </w:r>
          </w:p>
        </w:tc>
      </w:tr>
      <w:tr w:rsidR="00687F5B" w:rsidRPr="00B260F5" w:rsidTr="00167366">
        <w:tc>
          <w:tcPr>
            <w:tcW w:w="949" w:type="dxa"/>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sz w:val="28"/>
                <w:szCs w:val="28"/>
                <w:lang w:val="uk-UA" w:eastAsia="ru-RU"/>
              </w:rPr>
            </w:pPr>
            <w:r w:rsidRPr="00B260F5">
              <w:rPr>
                <w:rFonts w:ascii="Times New Roman" w:eastAsia="Times New Roman" w:hAnsi="Times New Roman" w:cs="Times New Roman"/>
                <w:sz w:val="28"/>
                <w:szCs w:val="28"/>
                <w:lang w:val="uk-UA" w:eastAsia="ru-RU"/>
              </w:rPr>
              <w:t>1</w:t>
            </w:r>
          </w:p>
        </w:tc>
        <w:tc>
          <w:tcPr>
            <w:tcW w:w="4211" w:type="dxa"/>
          </w:tcPr>
          <w:p w:rsidR="00687F5B" w:rsidRPr="00B260F5" w:rsidRDefault="00687F5B" w:rsidP="00167366">
            <w:pPr>
              <w:overflowPunct w:val="0"/>
              <w:autoSpaceDE w:val="0"/>
              <w:autoSpaceDN w:val="0"/>
              <w:adjustRightInd w:val="0"/>
              <w:ind w:right="-108"/>
              <w:jc w:val="both"/>
              <w:textAlignment w:val="baseline"/>
              <w:rPr>
                <w:rFonts w:ascii="Times New Roman" w:eastAsia="Times New Roman" w:hAnsi="Times New Roman" w:cs="Times New Roman"/>
                <w:sz w:val="28"/>
                <w:szCs w:val="28"/>
                <w:lang w:val="uk-UA" w:eastAsia="ru-RU"/>
              </w:rPr>
            </w:pPr>
            <w:r w:rsidRPr="00B260F5">
              <w:rPr>
                <w:rFonts w:ascii="Times New Roman" w:eastAsia="Times New Roman" w:hAnsi="Times New Roman" w:cs="Times New Roman"/>
                <w:sz w:val="28"/>
                <w:szCs w:val="28"/>
                <w:lang w:val="uk-UA" w:eastAsia="ru-RU"/>
              </w:rPr>
              <w:t>Кількість договорів оренди</w:t>
            </w:r>
          </w:p>
        </w:tc>
        <w:tc>
          <w:tcPr>
            <w:tcW w:w="1418" w:type="dxa"/>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p>
        </w:tc>
        <w:tc>
          <w:tcPr>
            <w:tcW w:w="1468" w:type="dxa"/>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w:t>
            </w:r>
          </w:p>
        </w:tc>
        <w:tc>
          <w:tcPr>
            <w:tcW w:w="1525" w:type="dxa"/>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p>
        </w:tc>
      </w:tr>
      <w:tr w:rsidR="00687F5B" w:rsidRPr="00B260F5" w:rsidTr="00167366">
        <w:tc>
          <w:tcPr>
            <w:tcW w:w="949" w:type="dxa"/>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sz w:val="28"/>
                <w:szCs w:val="28"/>
                <w:lang w:val="uk-UA" w:eastAsia="ru-RU"/>
              </w:rPr>
            </w:pPr>
            <w:r w:rsidRPr="00B260F5">
              <w:rPr>
                <w:rFonts w:ascii="Times New Roman" w:eastAsia="Times New Roman" w:hAnsi="Times New Roman" w:cs="Times New Roman"/>
                <w:sz w:val="28"/>
                <w:szCs w:val="28"/>
                <w:lang w:val="uk-UA" w:eastAsia="ru-RU"/>
              </w:rPr>
              <w:t>2</w:t>
            </w:r>
          </w:p>
        </w:tc>
        <w:tc>
          <w:tcPr>
            <w:tcW w:w="4211" w:type="dxa"/>
          </w:tcPr>
          <w:p w:rsidR="00687F5B" w:rsidRPr="00B260F5" w:rsidRDefault="00687F5B" w:rsidP="00167366">
            <w:pPr>
              <w:overflowPunct w:val="0"/>
              <w:autoSpaceDE w:val="0"/>
              <w:autoSpaceDN w:val="0"/>
              <w:adjustRightInd w:val="0"/>
              <w:ind w:right="-1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w:t>
            </w:r>
            <w:r w:rsidRPr="00B260F5">
              <w:rPr>
                <w:rFonts w:ascii="Times New Roman" w:eastAsia="Times New Roman" w:hAnsi="Times New Roman" w:cs="Times New Roman"/>
                <w:sz w:val="28"/>
                <w:szCs w:val="28"/>
                <w:lang w:val="uk-UA" w:eastAsia="ru-RU"/>
              </w:rPr>
              <w:t xml:space="preserve">но орендної плати, </w:t>
            </w:r>
            <w:r>
              <w:rPr>
                <w:rFonts w:ascii="Times New Roman" w:eastAsia="Times New Roman" w:hAnsi="Times New Roman" w:cs="Times New Roman"/>
                <w:sz w:val="28"/>
                <w:szCs w:val="28"/>
                <w:lang w:val="uk-UA" w:eastAsia="ru-RU"/>
              </w:rPr>
              <w:t>грн.</w:t>
            </w:r>
            <w:r w:rsidRPr="00B260F5">
              <w:rPr>
                <w:rFonts w:ascii="Times New Roman" w:eastAsia="Times New Roman" w:hAnsi="Times New Roman" w:cs="Times New Roman"/>
                <w:sz w:val="28"/>
                <w:szCs w:val="28"/>
                <w:lang w:val="uk-UA" w:eastAsia="ru-RU"/>
              </w:rPr>
              <w:t xml:space="preserve"> </w:t>
            </w:r>
          </w:p>
        </w:tc>
        <w:tc>
          <w:tcPr>
            <w:tcW w:w="1418" w:type="dxa"/>
          </w:tcPr>
          <w:p w:rsidR="00687F5B" w:rsidRPr="00B260F5" w:rsidRDefault="00687F5B" w:rsidP="00167366">
            <w:pPr>
              <w:overflowPunct w:val="0"/>
              <w:autoSpaceDE w:val="0"/>
              <w:autoSpaceDN w:val="0"/>
              <w:adjustRightInd w:val="0"/>
              <w:ind w:left="-37"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1148895,00</w:t>
            </w:r>
          </w:p>
        </w:tc>
        <w:tc>
          <w:tcPr>
            <w:tcW w:w="1468" w:type="dxa"/>
          </w:tcPr>
          <w:p w:rsidR="00687F5B" w:rsidRPr="00B260F5" w:rsidRDefault="00687F5B" w:rsidP="00167366">
            <w:pPr>
              <w:overflowPunct w:val="0"/>
              <w:autoSpaceDE w:val="0"/>
              <w:autoSpaceDN w:val="0"/>
              <w:adjustRightInd w:val="0"/>
              <w:ind w:left="-57"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1348257,00</w:t>
            </w:r>
          </w:p>
        </w:tc>
        <w:tc>
          <w:tcPr>
            <w:tcW w:w="1525" w:type="dxa"/>
          </w:tcPr>
          <w:p w:rsidR="00687F5B" w:rsidRPr="00B260F5" w:rsidRDefault="00687F5B" w:rsidP="00167366">
            <w:pPr>
              <w:overflowPunct w:val="0"/>
              <w:autoSpaceDE w:val="0"/>
              <w:autoSpaceDN w:val="0"/>
              <w:adjustRightInd w:val="0"/>
              <w:ind w:left="-108"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bookmarkStart w:id="0" w:name="_GoBack"/>
            <w:bookmarkEnd w:id="0"/>
            <w:r>
              <w:rPr>
                <w:rFonts w:ascii="Times New Roman" w:eastAsia="Times New Roman" w:hAnsi="Times New Roman" w:cs="Times New Roman"/>
                <w:sz w:val="28"/>
                <w:szCs w:val="28"/>
                <w:lang w:val="uk-UA" w:eastAsia="ru-RU"/>
              </w:rPr>
              <w:t>42057,00</w:t>
            </w:r>
          </w:p>
        </w:tc>
      </w:tr>
    </w:tbl>
    <w:p w:rsidR="00687F5B" w:rsidRDefault="00687F5B" w:rsidP="00687F5B">
      <w:pPr>
        <w:spacing w:after="0" w:line="240" w:lineRule="auto"/>
        <w:ind w:firstLine="851"/>
        <w:jc w:val="both"/>
        <w:rPr>
          <w:rFonts w:ascii="Times New Roman" w:hAnsi="Times New Roman" w:cs="Times New Roman"/>
          <w:sz w:val="28"/>
          <w:szCs w:val="28"/>
        </w:rPr>
      </w:pPr>
    </w:p>
    <w:p w:rsidR="00687F5B" w:rsidRDefault="00AE1145" w:rsidP="00687F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відстеження результативності </w:t>
      </w:r>
      <w:r w:rsidR="008E7C7A">
        <w:rPr>
          <w:rFonts w:ascii="Times New Roman" w:hAnsi="Times New Roman" w:cs="Times New Roman"/>
          <w:sz w:val="28"/>
          <w:szCs w:val="28"/>
        </w:rPr>
        <w:t xml:space="preserve">встановлено, що даний </w:t>
      </w:r>
      <w:r w:rsidR="00687F5B">
        <w:rPr>
          <w:rFonts w:ascii="Times New Roman" w:hAnsi="Times New Roman" w:cs="Times New Roman"/>
          <w:sz w:val="28"/>
          <w:szCs w:val="28"/>
        </w:rPr>
        <w:t>регуляторн</w:t>
      </w:r>
      <w:r>
        <w:rPr>
          <w:rFonts w:ascii="Times New Roman" w:hAnsi="Times New Roman" w:cs="Times New Roman"/>
          <w:sz w:val="28"/>
          <w:szCs w:val="28"/>
        </w:rPr>
        <w:t>ий</w:t>
      </w:r>
      <w:r w:rsidR="00687F5B">
        <w:rPr>
          <w:rFonts w:ascii="Times New Roman" w:hAnsi="Times New Roman" w:cs="Times New Roman"/>
          <w:sz w:val="28"/>
          <w:szCs w:val="28"/>
        </w:rPr>
        <w:t xml:space="preserve"> акт </w:t>
      </w:r>
      <w:r>
        <w:rPr>
          <w:rFonts w:ascii="Times New Roman" w:hAnsi="Times New Roman" w:cs="Times New Roman"/>
          <w:sz w:val="28"/>
          <w:szCs w:val="28"/>
        </w:rPr>
        <w:t>має високий ступінь досягнення визначених цілей, його впровадження дало</w:t>
      </w:r>
      <w:r w:rsidR="00687F5B">
        <w:rPr>
          <w:rFonts w:ascii="Times New Roman" w:hAnsi="Times New Roman" w:cs="Times New Roman"/>
          <w:sz w:val="28"/>
          <w:szCs w:val="28"/>
        </w:rPr>
        <w:t xml:space="preserve"> можливість Броварській районній раді встановити чіткий механізм процедури надання та передачі в оренду комунального майна, здійснити загальні вимоги до порядку укладення та розірвання договорів оренди, забезпечити принцип рівності за допомогою проведення конкурсів на право оренди майна, підвищити ефективність використання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p w:rsidR="00687F5B" w:rsidRDefault="00687F5B" w:rsidP="00687F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Рішення Броварської районної ради від 28.02.2012 № 276-16-VІ «Про затвердження Методики розрахунку і порядку використання плати за оренду комунального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у новій редакції».</w:t>
      </w:r>
    </w:p>
    <w:p w:rsidR="00687F5B" w:rsidRDefault="00687F5B" w:rsidP="00687F5B">
      <w:pPr>
        <w:spacing w:after="0" w:line="240" w:lineRule="auto"/>
        <w:ind w:firstLine="851"/>
        <w:jc w:val="both"/>
        <w:rPr>
          <w:rFonts w:ascii="Times New Roman" w:hAnsi="Times New Roman" w:cs="Times New Roman"/>
          <w:sz w:val="28"/>
          <w:szCs w:val="28"/>
        </w:rPr>
      </w:pPr>
      <w:r w:rsidRPr="00A7200E">
        <w:rPr>
          <w:rFonts w:ascii="Times New Roman" w:hAnsi="Times New Roman" w:cs="Times New Roman"/>
          <w:sz w:val="28"/>
          <w:szCs w:val="28"/>
        </w:rPr>
        <w:t>Відстеження результативност</w:t>
      </w:r>
      <w:r>
        <w:rPr>
          <w:rFonts w:ascii="Times New Roman" w:hAnsi="Times New Roman" w:cs="Times New Roman"/>
          <w:sz w:val="28"/>
          <w:szCs w:val="28"/>
        </w:rPr>
        <w:t xml:space="preserve">і регуляторного акта проводилось на підставі </w:t>
      </w:r>
      <w:r w:rsidR="0027040F">
        <w:rPr>
          <w:rFonts w:ascii="Times New Roman" w:hAnsi="Times New Roman" w:cs="Times New Roman"/>
          <w:sz w:val="28"/>
          <w:szCs w:val="28"/>
        </w:rPr>
        <w:t xml:space="preserve">показників нарахування та отримання орендної плати </w:t>
      </w:r>
      <w:r>
        <w:rPr>
          <w:rFonts w:ascii="Times New Roman" w:hAnsi="Times New Roman" w:cs="Times New Roman"/>
          <w:sz w:val="28"/>
          <w:szCs w:val="28"/>
        </w:rPr>
        <w:t>від оренди майна спільної сумісної власності територіальної громади міста Бровари Київської області та територіальних громад сіл та селищ Броварського району.</w:t>
      </w:r>
    </w:p>
    <w:tbl>
      <w:tblPr>
        <w:tblStyle w:val="a3"/>
        <w:tblW w:w="0" w:type="auto"/>
        <w:tblLook w:val="04A0"/>
      </w:tblPr>
      <w:tblGrid>
        <w:gridCol w:w="949"/>
        <w:gridCol w:w="4211"/>
        <w:gridCol w:w="1418"/>
        <w:gridCol w:w="1468"/>
        <w:gridCol w:w="1525"/>
      </w:tblGrid>
      <w:tr w:rsidR="00687F5B" w:rsidRPr="00B260F5" w:rsidTr="00167366">
        <w:trPr>
          <w:trHeight w:val="533"/>
        </w:trPr>
        <w:tc>
          <w:tcPr>
            <w:tcW w:w="949" w:type="dxa"/>
            <w:vAlign w:val="bottom"/>
          </w:tcPr>
          <w:p w:rsidR="00687F5B" w:rsidRPr="00B260F5" w:rsidRDefault="00687F5B" w:rsidP="00167366">
            <w:pPr>
              <w:overflowPunct w:val="0"/>
              <w:autoSpaceDE w:val="0"/>
              <w:autoSpaceDN w:val="0"/>
              <w:adjustRightInd w:val="0"/>
              <w:ind w:right="-108"/>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 п/п</w:t>
            </w:r>
          </w:p>
        </w:tc>
        <w:tc>
          <w:tcPr>
            <w:tcW w:w="4211" w:type="dxa"/>
            <w:vAlign w:val="bottom"/>
          </w:tcPr>
          <w:p w:rsidR="00687F5B" w:rsidRPr="00B260F5" w:rsidRDefault="00687F5B" w:rsidP="00167366">
            <w:pPr>
              <w:overflowPunct w:val="0"/>
              <w:autoSpaceDE w:val="0"/>
              <w:autoSpaceDN w:val="0"/>
              <w:adjustRightInd w:val="0"/>
              <w:ind w:right="-108"/>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Показники результативності</w:t>
            </w:r>
          </w:p>
        </w:tc>
        <w:tc>
          <w:tcPr>
            <w:tcW w:w="1418" w:type="dxa"/>
            <w:vAlign w:val="bottom"/>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2016 рік</w:t>
            </w:r>
          </w:p>
        </w:tc>
        <w:tc>
          <w:tcPr>
            <w:tcW w:w="1468" w:type="dxa"/>
            <w:vAlign w:val="bottom"/>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2017 рік</w:t>
            </w:r>
          </w:p>
        </w:tc>
        <w:tc>
          <w:tcPr>
            <w:tcW w:w="1525" w:type="dxa"/>
            <w:vAlign w:val="bottom"/>
          </w:tcPr>
          <w:p w:rsidR="00687F5B" w:rsidRPr="00B260F5" w:rsidRDefault="00687F5B" w:rsidP="00167366">
            <w:pPr>
              <w:overflowPunct w:val="0"/>
              <w:autoSpaceDE w:val="0"/>
              <w:autoSpaceDN w:val="0"/>
              <w:adjustRightInd w:val="0"/>
              <w:ind w:right="-108"/>
              <w:jc w:val="center"/>
              <w:textAlignment w:val="baseline"/>
              <w:rPr>
                <w:rFonts w:ascii="Times New Roman" w:eastAsia="Times New Roman" w:hAnsi="Times New Roman" w:cs="Times New Roman"/>
                <w:b/>
                <w:sz w:val="28"/>
                <w:szCs w:val="28"/>
                <w:lang w:val="uk-UA" w:eastAsia="ru-RU"/>
              </w:rPr>
            </w:pPr>
            <w:r w:rsidRPr="00B260F5">
              <w:rPr>
                <w:rFonts w:ascii="Times New Roman" w:eastAsia="Times New Roman" w:hAnsi="Times New Roman" w:cs="Times New Roman"/>
                <w:b/>
                <w:sz w:val="28"/>
                <w:szCs w:val="28"/>
                <w:lang w:val="uk-UA" w:eastAsia="ru-RU"/>
              </w:rPr>
              <w:t>2018 рік</w:t>
            </w:r>
          </w:p>
        </w:tc>
      </w:tr>
      <w:tr w:rsidR="0027040F" w:rsidRPr="00B260F5" w:rsidTr="00167366">
        <w:tc>
          <w:tcPr>
            <w:tcW w:w="949" w:type="dxa"/>
          </w:tcPr>
          <w:p w:rsidR="0027040F" w:rsidRPr="00B260F5" w:rsidRDefault="0027040F" w:rsidP="00167366">
            <w:pPr>
              <w:overflowPunct w:val="0"/>
              <w:autoSpaceDE w:val="0"/>
              <w:autoSpaceDN w:val="0"/>
              <w:adjustRightInd w:val="0"/>
              <w:ind w:right="-108"/>
              <w:jc w:val="center"/>
              <w:textAlignment w:val="baseline"/>
              <w:rPr>
                <w:rFonts w:ascii="Times New Roman" w:eastAsia="Times New Roman" w:hAnsi="Times New Roman" w:cs="Times New Roman"/>
                <w:sz w:val="28"/>
                <w:szCs w:val="28"/>
                <w:lang w:val="uk-UA" w:eastAsia="ru-RU"/>
              </w:rPr>
            </w:pPr>
            <w:r w:rsidRPr="00B260F5">
              <w:rPr>
                <w:rFonts w:ascii="Times New Roman" w:eastAsia="Times New Roman" w:hAnsi="Times New Roman" w:cs="Times New Roman"/>
                <w:sz w:val="28"/>
                <w:szCs w:val="28"/>
                <w:lang w:val="uk-UA" w:eastAsia="ru-RU"/>
              </w:rPr>
              <w:t>1</w:t>
            </w:r>
          </w:p>
        </w:tc>
        <w:tc>
          <w:tcPr>
            <w:tcW w:w="4211" w:type="dxa"/>
          </w:tcPr>
          <w:p w:rsidR="0027040F" w:rsidRPr="00B260F5" w:rsidRDefault="0027040F" w:rsidP="00167366">
            <w:pPr>
              <w:overflowPunct w:val="0"/>
              <w:autoSpaceDE w:val="0"/>
              <w:autoSpaceDN w:val="0"/>
              <w:adjustRightInd w:val="0"/>
              <w:ind w:right="-108"/>
              <w:jc w:val="both"/>
              <w:textAlignment w:val="baseline"/>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Нараховано</w:t>
            </w:r>
            <w:proofErr w:type="spellEnd"/>
            <w:r>
              <w:rPr>
                <w:rFonts w:ascii="Times New Roman" w:eastAsia="Times New Roman" w:hAnsi="Times New Roman" w:cs="Times New Roman"/>
                <w:sz w:val="28"/>
                <w:szCs w:val="28"/>
                <w:lang w:val="uk-UA" w:eastAsia="ru-RU"/>
              </w:rPr>
              <w:t xml:space="preserve"> орендної плати, грн.</w:t>
            </w:r>
          </w:p>
        </w:tc>
        <w:tc>
          <w:tcPr>
            <w:tcW w:w="1418" w:type="dxa"/>
          </w:tcPr>
          <w:p w:rsidR="0027040F" w:rsidRPr="00B260F5" w:rsidRDefault="0027040F" w:rsidP="0027040F">
            <w:pPr>
              <w:overflowPunct w:val="0"/>
              <w:autoSpaceDE w:val="0"/>
              <w:autoSpaceDN w:val="0"/>
              <w:adjustRightInd w:val="0"/>
              <w:ind w:left="-37"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1148899,00</w:t>
            </w:r>
          </w:p>
        </w:tc>
        <w:tc>
          <w:tcPr>
            <w:tcW w:w="1468" w:type="dxa"/>
          </w:tcPr>
          <w:p w:rsidR="0027040F" w:rsidRPr="00B260F5" w:rsidRDefault="0027040F" w:rsidP="00167366">
            <w:pPr>
              <w:overflowPunct w:val="0"/>
              <w:autoSpaceDE w:val="0"/>
              <w:autoSpaceDN w:val="0"/>
              <w:adjustRightInd w:val="0"/>
              <w:ind w:left="-57"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1348257,00</w:t>
            </w:r>
          </w:p>
        </w:tc>
        <w:tc>
          <w:tcPr>
            <w:tcW w:w="1525" w:type="dxa"/>
          </w:tcPr>
          <w:p w:rsidR="0027040F" w:rsidRPr="00B260F5" w:rsidRDefault="0027040F" w:rsidP="0027040F">
            <w:pPr>
              <w:overflowPunct w:val="0"/>
              <w:autoSpaceDE w:val="0"/>
              <w:autoSpaceDN w:val="0"/>
              <w:adjustRightInd w:val="0"/>
              <w:ind w:left="-108"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1261632,00</w:t>
            </w:r>
          </w:p>
        </w:tc>
      </w:tr>
      <w:tr w:rsidR="0027040F" w:rsidRPr="00B260F5" w:rsidTr="00167366">
        <w:tc>
          <w:tcPr>
            <w:tcW w:w="949" w:type="dxa"/>
          </w:tcPr>
          <w:p w:rsidR="0027040F" w:rsidRPr="00B260F5" w:rsidRDefault="0027040F" w:rsidP="00167366">
            <w:pPr>
              <w:overflowPunct w:val="0"/>
              <w:autoSpaceDE w:val="0"/>
              <w:autoSpaceDN w:val="0"/>
              <w:adjustRightInd w:val="0"/>
              <w:ind w:right="-108"/>
              <w:jc w:val="center"/>
              <w:textAlignment w:val="baseline"/>
              <w:rPr>
                <w:rFonts w:ascii="Times New Roman" w:eastAsia="Times New Roman" w:hAnsi="Times New Roman" w:cs="Times New Roman"/>
                <w:sz w:val="28"/>
                <w:szCs w:val="28"/>
                <w:lang w:val="uk-UA" w:eastAsia="ru-RU"/>
              </w:rPr>
            </w:pPr>
            <w:r w:rsidRPr="00B260F5">
              <w:rPr>
                <w:rFonts w:ascii="Times New Roman" w:eastAsia="Times New Roman" w:hAnsi="Times New Roman" w:cs="Times New Roman"/>
                <w:sz w:val="28"/>
                <w:szCs w:val="28"/>
                <w:lang w:val="uk-UA" w:eastAsia="ru-RU"/>
              </w:rPr>
              <w:t>2</w:t>
            </w:r>
          </w:p>
        </w:tc>
        <w:tc>
          <w:tcPr>
            <w:tcW w:w="4211" w:type="dxa"/>
          </w:tcPr>
          <w:p w:rsidR="0027040F" w:rsidRPr="00B260F5" w:rsidRDefault="0027040F" w:rsidP="00167366">
            <w:pPr>
              <w:overflowPunct w:val="0"/>
              <w:autoSpaceDE w:val="0"/>
              <w:autoSpaceDN w:val="0"/>
              <w:adjustRightInd w:val="0"/>
              <w:ind w:right="-1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w:t>
            </w:r>
            <w:r w:rsidRPr="00B260F5">
              <w:rPr>
                <w:rFonts w:ascii="Times New Roman" w:eastAsia="Times New Roman" w:hAnsi="Times New Roman" w:cs="Times New Roman"/>
                <w:sz w:val="28"/>
                <w:szCs w:val="28"/>
                <w:lang w:val="uk-UA" w:eastAsia="ru-RU"/>
              </w:rPr>
              <w:t xml:space="preserve">но орендної плати, </w:t>
            </w:r>
            <w:r>
              <w:rPr>
                <w:rFonts w:ascii="Times New Roman" w:eastAsia="Times New Roman" w:hAnsi="Times New Roman" w:cs="Times New Roman"/>
                <w:sz w:val="28"/>
                <w:szCs w:val="28"/>
                <w:lang w:val="uk-UA" w:eastAsia="ru-RU"/>
              </w:rPr>
              <w:t>грн.</w:t>
            </w:r>
            <w:r w:rsidRPr="00B260F5">
              <w:rPr>
                <w:rFonts w:ascii="Times New Roman" w:eastAsia="Times New Roman" w:hAnsi="Times New Roman" w:cs="Times New Roman"/>
                <w:sz w:val="28"/>
                <w:szCs w:val="28"/>
                <w:lang w:val="uk-UA" w:eastAsia="ru-RU"/>
              </w:rPr>
              <w:t xml:space="preserve"> </w:t>
            </w:r>
          </w:p>
        </w:tc>
        <w:tc>
          <w:tcPr>
            <w:tcW w:w="1418" w:type="dxa"/>
          </w:tcPr>
          <w:p w:rsidR="0027040F" w:rsidRPr="00B260F5" w:rsidRDefault="0027040F" w:rsidP="009B2D97">
            <w:pPr>
              <w:overflowPunct w:val="0"/>
              <w:autoSpaceDE w:val="0"/>
              <w:autoSpaceDN w:val="0"/>
              <w:adjustRightInd w:val="0"/>
              <w:ind w:left="-37"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114889</w:t>
            </w:r>
            <w:r w:rsidR="009B2D97">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,00</w:t>
            </w:r>
          </w:p>
        </w:tc>
        <w:tc>
          <w:tcPr>
            <w:tcW w:w="1468" w:type="dxa"/>
          </w:tcPr>
          <w:p w:rsidR="0027040F" w:rsidRPr="00B260F5" w:rsidRDefault="0027040F" w:rsidP="00167366">
            <w:pPr>
              <w:overflowPunct w:val="0"/>
              <w:autoSpaceDE w:val="0"/>
              <w:autoSpaceDN w:val="0"/>
              <w:adjustRightInd w:val="0"/>
              <w:ind w:left="-57"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1348257,00</w:t>
            </w:r>
          </w:p>
        </w:tc>
        <w:tc>
          <w:tcPr>
            <w:tcW w:w="1525" w:type="dxa"/>
          </w:tcPr>
          <w:p w:rsidR="0027040F" w:rsidRPr="00B260F5" w:rsidRDefault="009B2D97" w:rsidP="00167366">
            <w:pPr>
              <w:overflowPunct w:val="0"/>
              <w:autoSpaceDE w:val="0"/>
              <w:autoSpaceDN w:val="0"/>
              <w:adjustRightInd w:val="0"/>
              <w:ind w:left="-108" w:right="-108"/>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1242057,00</w:t>
            </w:r>
          </w:p>
        </w:tc>
      </w:tr>
    </w:tbl>
    <w:p w:rsidR="00687F5B" w:rsidRDefault="00AE1145" w:rsidP="002431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відстеження результативності </w:t>
      </w:r>
      <w:r w:rsidR="008E7C7A">
        <w:rPr>
          <w:rFonts w:ascii="Times New Roman" w:hAnsi="Times New Roman" w:cs="Times New Roman"/>
          <w:sz w:val="28"/>
          <w:szCs w:val="28"/>
        </w:rPr>
        <w:t xml:space="preserve">встановлено, що даний </w:t>
      </w:r>
      <w:r>
        <w:rPr>
          <w:rFonts w:ascii="Times New Roman" w:hAnsi="Times New Roman" w:cs="Times New Roman"/>
          <w:sz w:val="28"/>
          <w:szCs w:val="28"/>
        </w:rPr>
        <w:t xml:space="preserve">регуляторний акт має високий ступінь досягнення визначених цілей, його впровадження дало </w:t>
      </w:r>
      <w:r w:rsidR="00687F5B">
        <w:rPr>
          <w:rFonts w:ascii="Times New Roman" w:hAnsi="Times New Roman" w:cs="Times New Roman"/>
          <w:sz w:val="28"/>
          <w:szCs w:val="28"/>
        </w:rPr>
        <w:t xml:space="preserve">можливість Броварській районній раді встановити чіткий механізм </w:t>
      </w:r>
      <w:r w:rsidR="0027040F">
        <w:rPr>
          <w:rFonts w:ascii="Times New Roman" w:hAnsi="Times New Roman" w:cs="Times New Roman"/>
          <w:sz w:val="28"/>
          <w:szCs w:val="28"/>
        </w:rPr>
        <w:t xml:space="preserve">нарахування орендної плати за користування </w:t>
      </w:r>
      <w:r w:rsidR="00687F5B">
        <w:rPr>
          <w:rFonts w:ascii="Times New Roman" w:hAnsi="Times New Roman" w:cs="Times New Roman"/>
          <w:sz w:val="28"/>
          <w:szCs w:val="28"/>
        </w:rPr>
        <w:t>комунального майна</w:t>
      </w:r>
      <w:r w:rsidR="0027040F">
        <w:rPr>
          <w:rFonts w:ascii="Times New Roman" w:hAnsi="Times New Roman" w:cs="Times New Roman"/>
          <w:sz w:val="28"/>
          <w:szCs w:val="28"/>
        </w:rPr>
        <w:t xml:space="preserve"> у відповідності до Методики Кабінету Міністрів України, </w:t>
      </w:r>
      <w:r w:rsidR="00687F5B">
        <w:rPr>
          <w:rFonts w:ascii="Times New Roman" w:hAnsi="Times New Roman" w:cs="Times New Roman"/>
          <w:sz w:val="28"/>
          <w:szCs w:val="28"/>
        </w:rPr>
        <w:t xml:space="preserve">забезпечити </w:t>
      </w:r>
      <w:r w:rsidR="0027040F">
        <w:rPr>
          <w:rFonts w:ascii="Times New Roman" w:hAnsi="Times New Roman" w:cs="Times New Roman"/>
          <w:sz w:val="28"/>
          <w:szCs w:val="28"/>
        </w:rPr>
        <w:t xml:space="preserve">ефективне </w:t>
      </w:r>
      <w:r w:rsidR="00687F5B">
        <w:rPr>
          <w:rFonts w:ascii="Times New Roman" w:hAnsi="Times New Roman" w:cs="Times New Roman"/>
          <w:sz w:val="28"/>
          <w:szCs w:val="28"/>
        </w:rPr>
        <w:t>використання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p w:rsidR="00A57BBB" w:rsidRDefault="00F357EA" w:rsidP="00A7393F">
      <w:pPr>
        <w:pStyle w:val="normal"/>
        <w:widowControl w:val="0"/>
        <w:ind w:firstLine="851"/>
        <w:jc w:val="both"/>
        <w:rPr>
          <w:rFonts w:ascii="Times New Roman" w:hAnsi="Times New Roman" w:cs="Times New Roman"/>
          <w:sz w:val="28"/>
          <w:szCs w:val="28"/>
        </w:rPr>
      </w:pPr>
      <w:r>
        <w:rPr>
          <w:rFonts w:ascii="Times New Roman" w:hAnsi="Times New Roman" w:cs="Times New Roman"/>
          <w:sz w:val="28"/>
          <w:szCs w:val="28"/>
        </w:rPr>
        <w:t xml:space="preserve">Звіти про періодичні відстеження результативності вищевказаних </w:t>
      </w:r>
      <w:r w:rsidR="00A57BBB">
        <w:rPr>
          <w:rFonts w:ascii="Times New Roman" w:hAnsi="Times New Roman" w:cs="Times New Roman"/>
          <w:sz w:val="28"/>
          <w:szCs w:val="28"/>
        </w:rPr>
        <w:t>регуляторних актів надавалися до Броварської районної ради та були оприлюднені на</w:t>
      </w:r>
      <w:r w:rsidR="00A57BBB" w:rsidRPr="001319D3">
        <w:rPr>
          <w:rFonts w:ascii="Times New Roman" w:hAnsi="Times New Roman" w:cs="Times New Roman"/>
          <w:sz w:val="28"/>
          <w:szCs w:val="28"/>
        </w:rPr>
        <w:t xml:space="preserve"> </w:t>
      </w:r>
      <w:proofErr w:type="spellStart"/>
      <w:r w:rsidR="00A57BBB" w:rsidRPr="001319D3">
        <w:rPr>
          <w:rFonts w:ascii="Times New Roman" w:hAnsi="Times New Roman" w:cs="Times New Roman"/>
          <w:sz w:val="28"/>
          <w:szCs w:val="28"/>
        </w:rPr>
        <w:t>веб</w:t>
      </w:r>
      <w:proofErr w:type="spellEnd"/>
      <w:r w:rsidR="00A57BBB" w:rsidRPr="001319D3">
        <w:rPr>
          <w:rFonts w:ascii="Times New Roman" w:hAnsi="Times New Roman" w:cs="Times New Roman"/>
          <w:sz w:val="28"/>
          <w:szCs w:val="28"/>
        </w:rPr>
        <w:t xml:space="preserve"> – сайті Броварської районної </w:t>
      </w:r>
      <w:r w:rsidR="00A57BBB">
        <w:rPr>
          <w:rFonts w:ascii="Times New Roman" w:hAnsi="Times New Roman" w:cs="Times New Roman"/>
          <w:sz w:val="28"/>
          <w:szCs w:val="28"/>
        </w:rPr>
        <w:t>ради</w:t>
      </w:r>
      <w:r w:rsidR="00A57BBB" w:rsidRPr="001319D3">
        <w:rPr>
          <w:rFonts w:ascii="Times New Roman" w:hAnsi="Times New Roman" w:cs="Times New Roman"/>
          <w:sz w:val="28"/>
          <w:szCs w:val="28"/>
        </w:rPr>
        <w:t xml:space="preserve"> в </w:t>
      </w:r>
      <w:r w:rsidR="00A57BBB">
        <w:rPr>
          <w:rFonts w:ascii="Times New Roman" w:hAnsi="Times New Roman" w:cs="Times New Roman"/>
          <w:sz w:val="28"/>
          <w:szCs w:val="28"/>
        </w:rPr>
        <w:t>під</w:t>
      </w:r>
      <w:r w:rsidR="00A57BBB" w:rsidRPr="001319D3">
        <w:rPr>
          <w:rFonts w:ascii="Times New Roman" w:hAnsi="Times New Roman" w:cs="Times New Roman"/>
          <w:sz w:val="28"/>
          <w:szCs w:val="28"/>
        </w:rPr>
        <w:t>розділі «Регуляторна політика»</w:t>
      </w:r>
      <w:r w:rsidR="00A57BBB">
        <w:rPr>
          <w:rFonts w:ascii="Times New Roman" w:hAnsi="Times New Roman" w:cs="Times New Roman"/>
          <w:sz w:val="28"/>
          <w:szCs w:val="28"/>
        </w:rPr>
        <w:t xml:space="preserve"> та </w:t>
      </w:r>
      <w:r w:rsidR="00A57BBB" w:rsidRPr="001319D3">
        <w:rPr>
          <w:rFonts w:ascii="Times New Roman" w:hAnsi="Times New Roman" w:cs="Times New Roman"/>
          <w:sz w:val="28"/>
          <w:szCs w:val="28"/>
        </w:rPr>
        <w:t>в газеті «Нове життя»</w:t>
      </w:r>
      <w:r w:rsidR="00A57BBB">
        <w:rPr>
          <w:rFonts w:ascii="Times New Roman" w:hAnsi="Times New Roman" w:cs="Times New Roman"/>
          <w:sz w:val="28"/>
          <w:szCs w:val="28"/>
        </w:rPr>
        <w:t>.</w:t>
      </w:r>
    </w:p>
    <w:p w:rsidR="00F357EA" w:rsidRDefault="00A57BBB" w:rsidP="00A739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 метою проведення моніторингу результативності регуляторних актів і контролю за їх впровадженням розроблено план – графік </w:t>
      </w:r>
      <w:r w:rsidR="00725C5F">
        <w:rPr>
          <w:rFonts w:ascii="Times New Roman" w:hAnsi="Times New Roman" w:cs="Times New Roman"/>
          <w:sz w:val="28"/>
          <w:szCs w:val="28"/>
        </w:rPr>
        <w:t xml:space="preserve">проведення </w:t>
      </w:r>
      <w:r>
        <w:rPr>
          <w:rFonts w:ascii="Times New Roman" w:hAnsi="Times New Roman" w:cs="Times New Roman"/>
          <w:sz w:val="28"/>
          <w:szCs w:val="28"/>
        </w:rPr>
        <w:t>заходів з відстеження результативнос</w:t>
      </w:r>
      <w:r w:rsidR="00AE31CB">
        <w:rPr>
          <w:rFonts w:ascii="Times New Roman" w:hAnsi="Times New Roman" w:cs="Times New Roman"/>
          <w:sz w:val="28"/>
          <w:szCs w:val="28"/>
        </w:rPr>
        <w:t>ті прийнятих регуляторних актів</w:t>
      </w:r>
      <w:r w:rsidR="00725C5F">
        <w:rPr>
          <w:rFonts w:ascii="Times New Roman" w:hAnsi="Times New Roman" w:cs="Times New Roman"/>
          <w:sz w:val="28"/>
          <w:szCs w:val="28"/>
        </w:rPr>
        <w:t xml:space="preserve">, </w:t>
      </w:r>
      <w:r>
        <w:rPr>
          <w:rFonts w:ascii="Times New Roman" w:hAnsi="Times New Roman" w:cs="Times New Roman"/>
          <w:sz w:val="28"/>
          <w:szCs w:val="28"/>
        </w:rPr>
        <w:t xml:space="preserve">із зазначенням термінів їх </w:t>
      </w:r>
      <w:r w:rsidR="00AE31CB">
        <w:rPr>
          <w:rFonts w:ascii="Times New Roman" w:hAnsi="Times New Roman" w:cs="Times New Roman"/>
          <w:sz w:val="28"/>
          <w:szCs w:val="28"/>
        </w:rPr>
        <w:t xml:space="preserve">виконання </w:t>
      </w:r>
      <w:r>
        <w:rPr>
          <w:rFonts w:ascii="Times New Roman" w:hAnsi="Times New Roman" w:cs="Times New Roman"/>
          <w:sz w:val="28"/>
          <w:szCs w:val="28"/>
        </w:rPr>
        <w:t>(</w:t>
      </w:r>
      <w:r w:rsidR="00725C5F">
        <w:rPr>
          <w:rFonts w:ascii="Times New Roman" w:hAnsi="Times New Roman" w:cs="Times New Roman"/>
          <w:sz w:val="28"/>
          <w:szCs w:val="28"/>
        </w:rPr>
        <w:t xml:space="preserve">план – графік на 2020 рік </w:t>
      </w:r>
      <w:r>
        <w:rPr>
          <w:rFonts w:ascii="Times New Roman" w:hAnsi="Times New Roman" w:cs="Times New Roman"/>
          <w:sz w:val="28"/>
          <w:szCs w:val="28"/>
        </w:rPr>
        <w:t>додається).</w:t>
      </w:r>
    </w:p>
    <w:p w:rsidR="00A7393F" w:rsidRPr="00D66968" w:rsidRDefault="00A7393F" w:rsidP="00A7393F">
      <w:pPr>
        <w:spacing w:after="0" w:line="240" w:lineRule="auto"/>
        <w:ind w:firstLine="851"/>
        <w:jc w:val="both"/>
        <w:rPr>
          <w:rFonts w:ascii="Times New Roman" w:hAnsi="Times New Roman"/>
          <w:sz w:val="28"/>
          <w:szCs w:val="28"/>
        </w:rPr>
      </w:pPr>
      <w:r>
        <w:rPr>
          <w:rFonts w:ascii="Times New Roman" w:hAnsi="Times New Roman"/>
          <w:sz w:val="28"/>
          <w:szCs w:val="28"/>
        </w:rPr>
        <w:t xml:space="preserve">Згідно плану-графіка проведення заходів з відстеження результативності прийнятих регуляторних актів </w:t>
      </w:r>
      <w:r w:rsidRPr="00D66968">
        <w:rPr>
          <w:rFonts w:ascii="Times New Roman" w:hAnsi="Times New Roman"/>
          <w:sz w:val="28"/>
          <w:szCs w:val="28"/>
        </w:rPr>
        <w:t>не передбачено</w:t>
      </w:r>
      <w:r>
        <w:rPr>
          <w:rFonts w:ascii="Times New Roman" w:hAnsi="Times New Roman"/>
          <w:sz w:val="28"/>
          <w:szCs w:val="28"/>
        </w:rPr>
        <w:t xml:space="preserve"> проведення заходів з відстеження результативності прийнятих регуляторних актів в </w:t>
      </w:r>
      <w:r w:rsidRPr="00D66968">
        <w:rPr>
          <w:rFonts w:ascii="Times New Roman" w:hAnsi="Times New Roman"/>
          <w:sz w:val="28"/>
          <w:szCs w:val="28"/>
        </w:rPr>
        <w:t xml:space="preserve">І кварталі </w:t>
      </w:r>
      <w:r w:rsidRPr="00D66968">
        <w:rPr>
          <w:rFonts w:ascii="Times New Roman" w:hAnsi="Times New Roman"/>
          <w:sz w:val="28"/>
          <w:szCs w:val="28"/>
        </w:rPr>
        <w:br/>
        <w:t>2020 року.</w:t>
      </w:r>
    </w:p>
    <w:p w:rsidR="00A57BBB" w:rsidRDefault="00A57BBB" w:rsidP="00687F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Додаток на </w:t>
      </w:r>
      <w:r w:rsidR="00A7393F">
        <w:rPr>
          <w:rFonts w:ascii="Times New Roman" w:hAnsi="Times New Roman" w:cs="Times New Roman"/>
          <w:sz w:val="28"/>
          <w:szCs w:val="28"/>
        </w:rPr>
        <w:t>2</w:t>
      </w:r>
      <w:r>
        <w:rPr>
          <w:rFonts w:ascii="Times New Roman" w:hAnsi="Times New Roman" w:cs="Times New Roman"/>
          <w:sz w:val="28"/>
          <w:szCs w:val="28"/>
        </w:rPr>
        <w:t xml:space="preserve"> арк.</w:t>
      </w:r>
    </w:p>
    <w:p w:rsidR="00A57BBB" w:rsidRDefault="00A57BBB" w:rsidP="00687F5B">
      <w:pPr>
        <w:spacing w:after="0" w:line="240" w:lineRule="auto"/>
        <w:ind w:firstLine="851"/>
        <w:jc w:val="both"/>
        <w:rPr>
          <w:rFonts w:ascii="Times New Roman" w:hAnsi="Times New Roman" w:cs="Times New Roman"/>
          <w:sz w:val="28"/>
          <w:szCs w:val="28"/>
        </w:rPr>
      </w:pPr>
    </w:p>
    <w:p w:rsidR="00A57BBB" w:rsidRDefault="00A57BBB" w:rsidP="00A57B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Перший заступник голови адміністрації                                   Ю. ПЛАКСЯ</w:t>
      </w:r>
    </w:p>
    <w:sectPr w:rsidR="00A57BBB" w:rsidSect="009066A3">
      <w:footerReference w:type="default" r:id="rId6"/>
      <w:pgSz w:w="11906" w:h="16838"/>
      <w:pgMar w:top="426"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F1" w:rsidRDefault="00AA7AF1" w:rsidP="00687F5B">
      <w:pPr>
        <w:spacing w:after="0" w:line="240" w:lineRule="auto"/>
      </w:pPr>
      <w:r>
        <w:separator/>
      </w:r>
    </w:p>
  </w:endnote>
  <w:endnote w:type="continuationSeparator" w:id="0">
    <w:p w:rsidR="00AA7AF1" w:rsidRDefault="00AA7AF1" w:rsidP="00687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24454"/>
      <w:docPartObj>
        <w:docPartGallery w:val="Page Numbers (Bottom of Page)"/>
        <w:docPartUnique/>
      </w:docPartObj>
    </w:sdtPr>
    <w:sdtContent>
      <w:p w:rsidR="00687F5B" w:rsidRDefault="00DD63E2">
        <w:pPr>
          <w:pStyle w:val="a6"/>
          <w:jc w:val="right"/>
        </w:pPr>
        <w:fldSimple w:instr=" PAGE   \* MERGEFORMAT ">
          <w:r w:rsidR="009066A3">
            <w:rPr>
              <w:noProof/>
            </w:rPr>
            <w:t>2</w:t>
          </w:r>
        </w:fldSimple>
      </w:p>
    </w:sdtContent>
  </w:sdt>
  <w:p w:rsidR="00687F5B" w:rsidRDefault="00687F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F1" w:rsidRDefault="00AA7AF1" w:rsidP="00687F5B">
      <w:pPr>
        <w:spacing w:after="0" w:line="240" w:lineRule="auto"/>
      </w:pPr>
      <w:r>
        <w:separator/>
      </w:r>
    </w:p>
  </w:footnote>
  <w:footnote w:type="continuationSeparator" w:id="0">
    <w:p w:rsidR="00AA7AF1" w:rsidRDefault="00AA7AF1" w:rsidP="00687F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058D"/>
    <w:rsid w:val="00056F3A"/>
    <w:rsid w:val="001347F4"/>
    <w:rsid w:val="001D5AA0"/>
    <w:rsid w:val="002431C6"/>
    <w:rsid w:val="0027040F"/>
    <w:rsid w:val="00360F54"/>
    <w:rsid w:val="003671E5"/>
    <w:rsid w:val="00631901"/>
    <w:rsid w:val="00687F5B"/>
    <w:rsid w:val="00725C5F"/>
    <w:rsid w:val="007458F5"/>
    <w:rsid w:val="00773A9E"/>
    <w:rsid w:val="008449F3"/>
    <w:rsid w:val="00861D47"/>
    <w:rsid w:val="008877EF"/>
    <w:rsid w:val="008E7C7A"/>
    <w:rsid w:val="009066A3"/>
    <w:rsid w:val="00957FC4"/>
    <w:rsid w:val="009B2D97"/>
    <w:rsid w:val="009D058D"/>
    <w:rsid w:val="00A57BBB"/>
    <w:rsid w:val="00A7393F"/>
    <w:rsid w:val="00AA7AF1"/>
    <w:rsid w:val="00AE1145"/>
    <w:rsid w:val="00AE31CB"/>
    <w:rsid w:val="00BF384D"/>
    <w:rsid w:val="00D1104A"/>
    <w:rsid w:val="00D42B2E"/>
    <w:rsid w:val="00D5048A"/>
    <w:rsid w:val="00D66968"/>
    <w:rsid w:val="00DC3671"/>
    <w:rsid w:val="00DD63E2"/>
    <w:rsid w:val="00E22B5F"/>
    <w:rsid w:val="00E32752"/>
    <w:rsid w:val="00F21677"/>
    <w:rsid w:val="00F357EA"/>
    <w:rsid w:val="00F77FF5"/>
    <w:rsid w:val="00FD7B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F5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87F5B"/>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687F5B"/>
  </w:style>
  <w:style w:type="paragraph" w:styleId="a6">
    <w:name w:val="footer"/>
    <w:basedOn w:val="a"/>
    <w:link w:val="a7"/>
    <w:uiPriority w:val="99"/>
    <w:unhideWhenUsed/>
    <w:rsid w:val="00687F5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87F5B"/>
  </w:style>
  <w:style w:type="paragraph" w:customStyle="1" w:styleId="normal">
    <w:name w:val="normal"/>
    <w:rsid w:val="00A57BBB"/>
    <w:pPr>
      <w:pBdr>
        <w:top w:val="nil"/>
        <w:left w:val="nil"/>
        <w:bottom w:val="nil"/>
        <w:right w:val="nil"/>
        <w:between w:val="nil"/>
      </w:pBdr>
      <w:spacing w:after="0" w:line="240" w:lineRule="auto"/>
    </w:pPr>
    <w:rPr>
      <w:rFonts w:ascii="Helvetica Neue" w:eastAsia="Helvetica Neue" w:hAnsi="Helvetica Neue" w:cs="Helvetica Neue"/>
      <w:color w:val="000000"/>
      <w:sz w:val="20"/>
      <w:szCs w:val="20"/>
      <w:lang w:eastAsia="uk-UA"/>
    </w:rPr>
  </w:style>
</w:styles>
</file>

<file path=word/webSettings.xml><?xml version="1.0" encoding="utf-8"?>
<w:webSettings xmlns:r="http://schemas.openxmlformats.org/officeDocument/2006/relationships" xmlns:w="http://schemas.openxmlformats.org/wordprocessingml/2006/main">
  <w:divs>
    <w:div w:id="308091811">
      <w:bodyDiv w:val="1"/>
      <w:marLeft w:val="0"/>
      <w:marRight w:val="0"/>
      <w:marTop w:val="0"/>
      <w:marBottom w:val="0"/>
      <w:divBdr>
        <w:top w:val="none" w:sz="0" w:space="0" w:color="auto"/>
        <w:left w:val="none" w:sz="0" w:space="0" w:color="auto"/>
        <w:bottom w:val="none" w:sz="0" w:space="0" w:color="auto"/>
        <w:right w:val="none" w:sz="0" w:space="0" w:color="auto"/>
      </w:divBdr>
    </w:div>
    <w:div w:id="17344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3543</Words>
  <Characters>2020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16</cp:revision>
  <cp:lastPrinted>2020-06-03T11:49:00Z</cp:lastPrinted>
  <dcterms:created xsi:type="dcterms:W3CDTF">2020-06-03T07:40:00Z</dcterms:created>
  <dcterms:modified xsi:type="dcterms:W3CDTF">2020-06-03T11:53:00Z</dcterms:modified>
</cp:coreProperties>
</file>